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23D00" w14:textId="77777777" w:rsidR="003D3CD2" w:rsidRDefault="003D3CD2" w:rsidP="003D3CD2">
      <w:pPr>
        <w:jc w:val="center"/>
        <w:rPr>
          <w:rFonts w:ascii="Filson Pro Light" w:hAnsi="Filson Pro Light"/>
          <w:b/>
          <w:bCs/>
          <w:sz w:val="80"/>
          <w:szCs w:val="80"/>
        </w:rPr>
      </w:pPr>
      <w:r w:rsidRPr="003D3CD2">
        <w:rPr>
          <w:rFonts w:ascii="Filson Pro Light" w:hAnsi="Filson Pro Light"/>
          <w:b/>
          <w:bCs/>
          <w:sz w:val="80"/>
          <w:szCs w:val="80"/>
          <w:highlight w:val="yellow"/>
        </w:rPr>
        <w:t>[Charitable Institution Name]</w:t>
      </w:r>
      <w:r w:rsidRPr="003D3CD2">
        <w:rPr>
          <w:rFonts w:ascii="Filson Pro Light" w:hAnsi="Filson Pro Light"/>
          <w:b/>
          <w:bCs/>
          <w:sz w:val="80"/>
          <w:szCs w:val="80"/>
        </w:rPr>
        <w:t xml:space="preserve"> </w:t>
      </w:r>
    </w:p>
    <w:p w14:paraId="3E522AFE" w14:textId="668D8633" w:rsidR="003D3CD2" w:rsidRPr="003D3CD2" w:rsidRDefault="003D3CD2" w:rsidP="003D3CD2">
      <w:pPr>
        <w:jc w:val="center"/>
        <w:rPr>
          <w:rFonts w:ascii="Filson Pro Light" w:hAnsi="Filson Pro Light"/>
          <w:b/>
          <w:bCs/>
          <w:sz w:val="80"/>
          <w:szCs w:val="80"/>
        </w:rPr>
      </w:pPr>
      <w:r w:rsidRPr="003D3CD2">
        <w:rPr>
          <w:rFonts w:ascii="Filson Pro Light" w:hAnsi="Filson Pro Light"/>
          <w:b/>
          <w:bCs/>
          <w:sz w:val="80"/>
          <w:szCs w:val="80"/>
        </w:rPr>
        <w:t>Fundraising Policy</w:t>
      </w:r>
    </w:p>
    <w:p w14:paraId="7891FD4D" w14:textId="77777777" w:rsidR="003D3CD2" w:rsidRDefault="003D3CD2" w:rsidP="003D3CD2">
      <w:pPr>
        <w:jc w:val="center"/>
        <w:rPr>
          <w:rFonts w:ascii="Filson Pro Light" w:hAnsi="Filson Pro Light"/>
          <w:b/>
          <w:bCs/>
          <w:sz w:val="26"/>
          <w:szCs w:val="26"/>
        </w:rPr>
      </w:pPr>
    </w:p>
    <w:p w14:paraId="71482B23" w14:textId="36691687" w:rsidR="003D3CD2" w:rsidRPr="003D3CD2" w:rsidRDefault="003D3CD2" w:rsidP="003D3CD2">
      <w:pPr>
        <w:jc w:val="center"/>
        <w:rPr>
          <w:rFonts w:ascii="Filson Pro Light" w:hAnsi="Filson Pro Light"/>
          <w:sz w:val="26"/>
          <w:szCs w:val="26"/>
        </w:rPr>
      </w:pPr>
      <w:r w:rsidRPr="003D3CD2">
        <w:rPr>
          <w:rFonts w:ascii="Filson Pro Light" w:hAnsi="Filson Pro Light"/>
          <w:b/>
          <w:bCs/>
          <w:sz w:val="26"/>
          <w:szCs w:val="26"/>
        </w:rPr>
        <w:t>Effective:</w:t>
      </w:r>
      <w:r w:rsidRPr="003D3CD2">
        <w:rPr>
          <w:rFonts w:ascii="Filson Pro Light" w:hAnsi="Filson Pro Light"/>
          <w:sz w:val="26"/>
          <w:szCs w:val="26"/>
        </w:rPr>
        <w:t xml:space="preserve"> </w:t>
      </w:r>
      <w:r w:rsidRPr="003D3CD2">
        <w:rPr>
          <w:rFonts w:ascii="Filson Pro Light" w:hAnsi="Filson Pro Light"/>
          <w:sz w:val="26"/>
          <w:szCs w:val="26"/>
          <w:highlight w:val="yellow"/>
        </w:rPr>
        <w:t>[Insert Date]</w:t>
      </w:r>
      <w:r w:rsidRPr="003D3CD2">
        <w:rPr>
          <w:rFonts w:ascii="Filson Pro Light" w:hAnsi="Filson Pro Light"/>
          <w:sz w:val="26"/>
          <w:szCs w:val="26"/>
        </w:rPr>
        <w:br/>
      </w:r>
      <w:r w:rsidRPr="003D3CD2">
        <w:rPr>
          <w:rFonts w:ascii="Filson Pro Light" w:hAnsi="Filson Pro Light"/>
          <w:b/>
          <w:bCs/>
          <w:sz w:val="26"/>
          <w:szCs w:val="26"/>
        </w:rPr>
        <w:t>Approved by:</w:t>
      </w:r>
      <w:r w:rsidRPr="003D3CD2">
        <w:rPr>
          <w:rFonts w:ascii="Filson Pro Light" w:hAnsi="Filson Pro Light"/>
          <w:sz w:val="26"/>
          <w:szCs w:val="26"/>
        </w:rPr>
        <w:t xml:space="preserve"> </w:t>
      </w:r>
      <w:r w:rsidRPr="003D3CD2">
        <w:rPr>
          <w:rFonts w:ascii="Filson Pro Light" w:hAnsi="Filson Pro Light"/>
          <w:sz w:val="26"/>
          <w:szCs w:val="26"/>
          <w:highlight w:val="yellow"/>
        </w:rPr>
        <w:t>[Governing Body/Board]</w:t>
      </w:r>
      <w:r w:rsidRPr="003D3CD2">
        <w:rPr>
          <w:rFonts w:ascii="Filson Pro Light" w:hAnsi="Filson Pro Light"/>
          <w:sz w:val="26"/>
          <w:szCs w:val="26"/>
        </w:rPr>
        <w:br/>
      </w:r>
      <w:r w:rsidRPr="003D3CD2">
        <w:rPr>
          <w:rFonts w:ascii="Filson Pro Light" w:hAnsi="Filson Pro Light"/>
          <w:b/>
          <w:bCs/>
          <w:sz w:val="26"/>
          <w:szCs w:val="26"/>
        </w:rPr>
        <w:t>Review Date:</w:t>
      </w:r>
      <w:r w:rsidRPr="003D3CD2">
        <w:rPr>
          <w:rFonts w:ascii="Filson Pro Light" w:hAnsi="Filson Pro Light"/>
          <w:sz w:val="26"/>
          <w:szCs w:val="26"/>
        </w:rPr>
        <w:t xml:space="preserve"> </w:t>
      </w:r>
      <w:r w:rsidRPr="003D3CD2">
        <w:rPr>
          <w:rFonts w:ascii="Filson Pro Light" w:hAnsi="Filson Pro Light"/>
          <w:sz w:val="26"/>
          <w:szCs w:val="26"/>
          <w:highlight w:val="yellow"/>
        </w:rPr>
        <w:t>[Insert Date]</w:t>
      </w:r>
    </w:p>
    <w:p w14:paraId="7CDC9C67" w14:textId="77777777" w:rsidR="003D3CD2" w:rsidRDefault="003D3CD2" w:rsidP="003D3CD2">
      <w:pPr>
        <w:jc w:val="center"/>
        <w:rPr>
          <w:rFonts w:ascii="Filson Pro Light" w:hAnsi="Filson Pro Light"/>
        </w:rPr>
      </w:pPr>
    </w:p>
    <w:p w14:paraId="78ABC7E3" w14:textId="79CB071B" w:rsidR="003D3CD2" w:rsidRPr="003D3CD2" w:rsidRDefault="003D3CD2" w:rsidP="003D3CD2">
      <w:pPr>
        <w:jc w:val="center"/>
        <w:rPr>
          <w:rFonts w:ascii="Filson Pro Light" w:hAnsi="Filson Pro Light"/>
        </w:rPr>
      </w:pPr>
      <w:r w:rsidRPr="003D3CD2">
        <w:rPr>
          <w:rFonts w:ascii="Filson Pro Light" w:hAnsi="Filson Pro Light"/>
        </w:rPr>
        <w:t xml:space="preserve">This policy sets out the standards and expectations for all fundraising activity carried out by </w:t>
      </w:r>
      <w:r w:rsidRPr="003D3CD2">
        <w:rPr>
          <w:rFonts w:ascii="Filson Pro Light" w:hAnsi="Filson Pro Light"/>
          <w:highlight w:val="yellow"/>
        </w:rPr>
        <w:t>[Charitable Institution Name</w:t>
      </w:r>
      <w:r w:rsidRPr="003D3CD2">
        <w:rPr>
          <w:rFonts w:ascii="Filson Pro Light" w:hAnsi="Filson Pro Light"/>
        </w:rPr>
        <w:t>] or on its behalf, in line with the Code of Fundraising Practice (Nov 2025).</w:t>
      </w:r>
    </w:p>
    <w:p w14:paraId="72728B1C" w14:textId="77777777" w:rsidR="003D3CD2" w:rsidRDefault="003D3CD2" w:rsidP="003D3CD2">
      <w:pPr>
        <w:rPr>
          <w:rFonts w:ascii="Filson Pro Light" w:hAnsi="Filson Pro Light"/>
        </w:rPr>
      </w:pPr>
    </w:p>
    <w:p w14:paraId="1F06E50A" w14:textId="77777777" w:rsidR="003D3CD2" w:rsidRDefault="003D3CD2">
      <w:pPr>
        <w:rPr>
          <w:rFonts w:ascii="Filson Pro Light" w:hAnsi="Filson Pro Light"/>
        </w:rPr>
      </w:pPr>
      <w:r>
        <w:rPr>
          <w:rFonts w:ascii="Filson Pro Light" w:hAnsi="Filson Pro Light"/>
        </w:rPr>
        <w:br w:type="page"/>
      </w:r>
    </w:p>
    <w:p w14:paraId="7C168D79" w14:textId="2F4FAF5A" w:rsidR="003D3CD2" w:rsidRPr="003D3CD2" w:rsidRDefault="003D3CD2" w:rsidP="00CC1C8E">
      <w:pPr>
        <w:jc w:val="center"/>
        <w:rPr>
          <w:rFonts w:ascii="Filson Pro Light" w:hAnsi="Filson Pro Light"/>
          <w:b/>
          <w:bCs/>
        </w:rPr>
      </w:pPr>
      <w:r w:rsidRPr="003D3CD2">
        <w:rPr>
          <w:rFonts w:ascii="Filson Pro Light" w:hAnsi="Filson Pro Light"/>
          <w:b/>
          <w:bCs/>
        </w:rPr>
        <w:lastRenderedPageBreak/>
        <w:t>1. Introduction</w:t>
      </w:r>
    </w:p>
    <w:p w14:paraId="083E576B" w14:textId="77777777" w:rsidR="003D3CD2" w:rsidRPr="003D3CD2" w:rsidRDefault="003D3CD2" w:rsidP="00CC1C8E">
      <w:pPr>
        <w:jc w:val="both"/>
        <w:rPr>
          <w:rFonts w:ascii="Filson Pro Light" w:hAnsi="Filson Pro Light"/>
        </w:rPr>
      </w:pPr>
      <w:r w:rsidRPr="003D3CD2">
        <w:rPr>
          <w:rFonts w:ascii="Filson Pro Light" w:hAnsi="Filson Pro Light"/>
          <w:highlight w:val="yellow"/>
        </w:rPr>
        <w:t>[Charitable Institution Name]</w:t>
      </w:r>
      <w:r w:rsidRPr="003D3CD2">
        <w:rPr>
          <w:rFonts w:ascii="Filson Pro Light" w:hAnsi="Filson Pro Light"/>
        </w:rPr>
        <w:t xml:space="preserve"> is committed to fundraising that is ethical, transparent, and legally compliant. All fundraising activity must:</w:t>
      </w:r>
    </w:p>
    <w:p w14:paraId="5AAC4C1B" w14:textId="77777777" w:rsidR="003D3CD2" w:rsidRPr="003D3CD2" w:rsidRDefault="003D3CD2" w:rsidP="00CC1C8E">
      <w:pPr>
        <w:numPr>
          <w:ilvl w:val="0"/>
          <w:numId w:val="1"/>
        </w:numPr>
        <w:jc w:val="both"/>
        <w:rPr>
          <w:rFonts w:ascii="Filson Pro Light" w:hAnsi="Filson Pro Light"/>
        </w:rPr>
      </w:pPr>
      <w:r w:rsidRPr="003D3CD2">
        <w:rPr>
          <w:rFonts w:ascii="Filson Pro Light" w:hAnsi="Filson Pro Light"/>
        </w:rPr>
        <w:t>Respect the rights, dignity, and privacy of donors, participants, and beneficiaries.</w:t>
      </w:r>
    </w:p>
    <w:p w14:paraId="1EF09668" w14:textId="77777777" w:rsidR="003D3CD2" w:rsidRPr="003D3CD2" w:rsidRDefault="003D3CD2" w:rsidP="00CC1C8E">
      <w:pPr>
        <w:numPr>
          <w:ilvl w:val="0"/>
          <w:numId w:val="1"/>
        </w:numPr>
        <w:jc w:val="both"/>
        <w:rPr>
          <w:rFonts w:ascii="Filson Pro Light" w:hAnsi="Filson Pro Light"/>
        </w:rPr>
      </w:pPr>
      <w:r w:rsidRPr="003D3CD2">
        <w:rPr>
          <w:rFonts w:ascii="Filson Pro Light" w:hAnsi="Filson Pro Light"/>
        </w:rPr>
        <w:t>Be clear, honest, and accountable.</w:t>
      </w:r>
    </w:p>
    <w:p w14:paraId="0EC6CB28" w14:textId="77777777" w:rsidR="003D3CD2" w:rsidRPr="003D3CD2" w:rsidRDefault="003D3CD2" w:rsidP="00CC1C8E">
      <w:pPr>
        <w:numPr>
          <w:ilvl w:val="0"/>
          <w:numId w:val="1"/>
        </w:numPr>
        <w:jc w:val="both"/>
        <w:rPr>
          <w:rFonts w:ascii="Filson Pro Light" w:hAnsi="Filson Pro Light"/>
        </w:rPr>
      </w:pPr>
      <w:r w:rsidRPr="003D3CD2">
        <w:rPr>
          <w:rFonts w:ascii="Filson Pro Light" w:hAnsi="Filson Pro Light"/>
        </w:rPr>
        <w:t>Comply with all relevant laws, regulations, and guidance from the Fundraising Regulator.</w:t>
      </w:r>
    </w:p>
    <w:p w14:paraId="7B6C79EC" w14:textId="77777777" w:rsidR="003D3CD2" w:rsidRPr="003D3CD2" w:rsidRDefault="003D3CD2" w:rsidP="00CC1C8E">
      <w:pPr>
        <w:numPr>
          <w:ilvl w:val="0"/>
          <w:numId w:val="1"/>
        </w:numPr>
        <w:jc w:val="both"/>
        <w:rPr>
          <w:rFonts w:ascii="Filson Pro Light" w:hAnsi="Filson Pro Light"/>
        </w:rPr>
      </w:pPr>
      <w:r w:rsidRPr="003D3CD2">
        <w:rPr>
          <w:rFonts w:ascii="Filson Pro Light" w:hAnsi="Filson Pro Light"/>
        </w:rPr>
        <w:t>Protect the institution’s reputation and public trust.</w:t>
      </w:r>
    </w:p>
    <w:p w14:paraId="0B8E3C03" w14:textId="426382A6" w:rsidR="003D3CD2" w:rsidRDefault="003D3CD2" w:rsidP="00CC1C8E">
      <w:pPr>
        <w:jc w:val="both"/>
        <w:rPr>
          <w:rFonts w:ascii="Filson Pro Light" w:hAnsi="Filson Pro Light"/>
          <w:noProof/>
        </w:rPr>
      </w:pPr>
      <w:r w:rsidRPr="003D3CD2">
        <w:rPr>
          <w:rFonts w:ascii="Filson Pro Light" w:hAnsi="Filson Pro Light"/>
        </w:rPr>
        <w:t>This policy applies to all staff, volunteers, trustees, professional fundraisers, and third-party partners.</w:t>
      </w:r>
      <w:r w:rsidR="00CC1C8E" w:rsidRPr="00CC1C8E">
        <w:rPr>
          <w:rFonts w:ascii="Filson Pro Light" w:hAnsi="Filson Pro Light"/>
          <w:noProof/>
        </w:rPr>
        <w:t xml:space="preserve"> </w:t>
      </w:r>
    </w:p>
    <w:p w14:paraId="30F18F68" w14:textId="77777777" w:rsidR="00B75676" w:rsidRPr="003D3CD2" w:rsidRDefault="00B75676" w:rsidP="00CC1C8E">
      <w:pPr>
        <w:jc w:val="both"/>
        <w:rPr>
          <w:rFonts w:ascii="Filson Pro Light" w:hAnsi="Filson Pro Light"/>
        </w:rPr>
      </w:pPr>
    </w:p>
    <w:p w14:paraId="53AC9393" w14:textId="14E9EE91" w:rsidR="00CC1C8E" w:rsidRDefault="00CC1C8E" w:rsidP="003D3CD2">
      <w:pPr>
        <w:rPr>
          <w:rFonts w:ascii="Filson Pro Light" w:hAnsi="Filson Pro Light"/>
        </w:rPr>
      </w:pPr>
      <w:r>
        <w:rPr>
          <w:rFonts w:ascii="Filson Pro Light" w:hAnsi="Filson Pro Light"/>
          <w:noProof/>
        </w:rPr>
        <mc:AlternateContent>
          <mc:Choice Requires="wps">
            <w:drawing>
              <wp:anchor distT="0" distB="0" distL="114300" distR="114300" simplePos="0" relativeHeight="251661312" behindDoc="0" locked="0" layoutInCell="1" allowOverlap="1" wp14:anchorId="6F7D209A" wp14:editId="7059DDBC">
                <wp:simplePos x="0" y="0"/>
                <wp:positionH relativeFrom="column">
                  <wp:posOffset>27709</wp:posOffset>
                </wp:positionH>
                <wp:positionV relativeFrom="paragraph">
                  <wp:posOffset>62404</wp:posOffset>
                </wp:positionV>
                <wp:extent cx="5600700" cy="0"/>
                <wp:effectExtent l="38100" t="57150" r="76200" b="114300"/>
                <wp:wrapNone/>
                <wp:docPr id="704648187"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w="28575">
                          <a:solidFill>
                            <a:schemeClr val="accent5">
                              <a:lumMod val="60000"/>
                              <a:lumOff val="4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4450A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pt,4.9pt" to="443.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" strokecolor="#d86dcb [1944]" strokeweight="2.25pt">
                <v:stroke joinstyle="miter"/>
                <v:shadow on="t" color="black" opacity="26214f" origin="-.5,-.5" offset=".74836mm,.74836mm"/>
              </v:line>
            </w:pict>
          </mc:Fallback>
        </mc:AlternateContent>
      </w:r>
    </w:p>
    <w:p w14:paraId="3CB728A4" w14:textId="496E55C3" w:rsidR="003D3CD2" w:rsidRPr="003D3CD2" w:rsidRDefault="003D3CD2" w:rsidP="00CC1C8E">
      <w:pPr>
        <w:jc w:val="center"/>
        <w:rPr>
          <w:rFonts w:ascii="Filson Pro Light" w:hAnsi="Filson Pro Light"/>
          <w:b/>
          <w:bCs/>
        </w:rPr>
      </w:pPr>
      <w:r w:rsidRPr="003D3CD2">
        <w:rPr>
          <w:rFonts w:ascii="Filson Pro Light" w:hAnsi="Filson Pro Light"/>
          <w:b/>
          <w:bCs/>
        </w:rPr>
        <w:t xml:space="preserve">2. General </w:t>
      </w:r>
      <w:r w:rsidR="009A20E4">
        <w:rPr>
          <w:rFonts w:ascii="Filson Pro Light" w:hAnsi="Filson Pro Light"/>
          <w:b/>
          <w:bCs/>
        </w:rPr>
        <w:t>f</w:t>
      </w:r>
      <w:r w:rsidRPr="003D3CD2">
        <w:rPr>
          <w:rFonts w:ascii="Filson Pro Light" w:hAnsi="Filson Pro Light"/>
          <w:b/>
          <w:bCs/>
        </w:rPr>
        <w:t xml:space="preserve">undraising </w:t>
      </w:r>
      <w:r w:rsidR="009A20E4">
        <w:rPr>
          <w:rFonts w:ascii="Filson Pro Light" w:hAnsi="Filson Pro Light"/>
          <w:b/>
          <w:bCs/>
        </w:rPr>
        <w:t>s</w:t>
      </w:r>
      <w:r w:rsidRPr="003D3CD2">
        <w:rPr>
          <w:rFonts w:ascii="Filson Pro Light" w:hAnsi="Filson Pro Light"/>
          <w:b/>
          <w:bCs/>
        </w:rPr>
        <w:t>tandards</w:t>
      </w:r>
    </w:p>
    <w:p w14:paraId="599EE621" w14:textId="100ACC22" w:rsidR="003D3CD2" w:rsidRPr="003D3CD2" w:rsidRDefault="003D3CD2" w:rsidP="003D3CD2">
      <w:pPr>
        <w:rPr>
          <w:rFonts w:ascii="Filson Pro Light" w:hAnsi="Filson Pro Light"/>
        </w:rPr>
      </w:pPr>
      <w:r w:rsidRPr="003D3CD2">
        <w:rPr>
          <w:rFonts w:ascii="Filson Pro Light" w:hAnsi="Filson Pro Light"/>
        </w:rPr>
        <w:t>All fundraising must:</w:t>
      </w:r>
    </w:p>
    <w:p w14:paraId="3FEF75ED" w14:textId="089E0CFE" w:rsidR="003D3CD2" w:rsidRPr="003D3CD2" w:rsidRDefault="003D3CD2" w:rsidP="003D3CD2">
      <w:pPr>
        <w:numPr>
          <w:ilvl w:val="0"/>
          <w:numId w:val="2"/>
        </w:numPr>
        <w:rPr>
          <w:rFonts w:ascii="Filson Pro Light" w:hAnsi="Filson Pro Light"/>
        </w:rPr>
      </w:pPr>
      <w:r w:rsidRPr="003D3CD2">
        <w:rPr>
          <w:rFonts w:ascii="Filson Pro Light" w:hAnsi="Filson Pro Light"/>
        </w:rPr>
        <w:t>Be responsible: avoid undue pressure or misleading statements.</w:t>
      </w:r>
    </w:p>
    <w:p w14:paraId="608BDB30" w14:textId="44DA58B9" w:rsidR="003D3CD2" w:rsidRPr="003D3CD2" w:rsidRDefault="003D3CD2" w:rsidP="003D3CD2">
      <w:pPr>
        <w:numPr>
          <w:ilvl w:val="0"/>
          <w:numId w:val="2"/>
        </w:numPr>
        <w:rPr>
          <w:rFonts w:ascii="Filson Pro Light" w:hAnsi="Filson Pro Light"/>
        </w:rPr>
      </w:pPr>
      <w:r w:rsidRPr="003D3CD2">
        <w:rPr>
          <w:rFonts w:ascii="Filson Pro Light" w:hAnsi="Filson Pro Light"/>
        </w:rPr>
        <w:t>Be legal: follow laws including data protection (UK GDPR, DPA 2018), health &amp; safety, financial services, and equality legislation.</w:t>
      </w:r>
    </w:p>
    <w:p w14:paraId="7064B553" w14:textId="66833818" w:rsidR="003D3CD2" w:rsidRPr="003D3CD2" w:rsidRDefault="003D3CD2" w:rsidP="003D3CD2">
      <w:pPr>
        <w:numPr>
          <w:ilvl w:val="0"/>
          <w:numId w:val="2"/>
        </w:numPr>
        <w:rPr>
          <w:rFonts w:ascii="Filson Pro Light" w:hAnsi="Filson Pro Light"/>
        </w:rPr>
      </w:pPr>
      <w:r w:rsidRPr="003D3CD2">
        <w:rPr>
          <w:rFonts w:ascii="Filson Pro Light" w:hAnsi="Filson Pro Light"/>
        </w:rPr>
        <w:t>Communicate clearly: donors and participants must understand how donations will be used.</w:t>
      </w:r>
    </w:p>
    <w:p w14:paraId="628D18C7" w14:textId="1BDB6A51" w:rsidR="003D3CD2" w:rsidRPr="003D3CD2" w:rsidRDefault="003D3CD2" w:rsidP="003D3CD2">
      <w:pPr>
        <w:numPr>
          <w:ilvl w:val="0"/>
          <w:numId w:val="2"/>
        </w:numPr>
        <w:rPr>
          <w:rFonts w:ascii="Filson Pro Light" w:hAnsi="Filson Pro Light"/>
        </w:rPr>
      </w:pPr>
      <w:r w:rsidRPr="003D3CD2">
        <w:rPr>
          <w:rFonts w:ascii="Filson Pro Light" w:hAnsi="Filson Pro Light"/>
        </w:rPr>
        <w:t>Avoid conflicts of interest: staff and fundraisers should not benefit personally from donations.</w:t>
      </w:r>
    </w:p>
    <w:p w14:paraId="59FC6C39" w14:textId="09CD1FF0" w:rsidR="003D3CD2" w:rsidRPr="003D3CD2" w:rsidRDefault="003D3CD2" w:rsidP="003D3CD2">
      <w:pPr>
        <w:numPr>
          <w:ilvl w:val="0"/>
          <w:numId w:val="2"/>
        </w:numPr>
        <w:rPr>
          <w:rFonts w:ascii="Filson Pro Light" w:hAnsi="Filson Pro Light"/>
        </w:rPr>
      </w:pPr>
      <w:r w:rsidRPr="003D3CD2">
        <w:rPr>
          <w:rFonts w:ascii="Filson Pro Light" w:hAnsi="Filson Pro Light"/>
        </w:rPr>
        <w:t>Include due diligence: assess reputational or financial risk when working with partners, professional fundraisers, or major donors.</w:t>
      </w:r>
    </w:p>
    <w:p w14:paraId="43D0B00E" w14:textId="704BE6A9" w:rsidR="003D3CD2" w:rsidRDefault="003D3CD2" w:rsidP="003D3CD2">
      <w:pPr>
        <w:numPr>
          <w:ilvl w:val="0"/>
          <w:numId w:val="2"/>
        </w:numPr>
        <w:rPr>
          <w:rFonts w:ascii="Filson Pro Light" w:hAnsi="Filson Pro Light"/>
        </w:rPr>
      </w:pPr>
      <w:r w:rsidRPr="003D3CD2">
        <w:rPr>
          <w:rFonts w:ascii="Filson Pro Light" w:hAnsi="Filson Pro Light"/>
        </w:rPr>
        <w:t>Respect privacy: process personal data lawfully, with consent where required, and securely.</w:t>
      </w:r>
    </w:p>
    <w:p w14:paraId="22743C55" w14:textId="77777777" w:rsidR="00B75676" w:rsidRPr="003D3CD2" w:rsidRDefault="00B75676" w:rsidP="00B75676">
      <w:pPr>
        <w:ind w:left="360"/>
        <w:rPr>
          <w:rFonts w:ascii="Filson Pro Light" w:hAnsi="Filson Pro Light"/>
        </w:rPr>
      </w:pPr>
    </w:p>
    <w:p w14:paraId="37FEF1C3" w14:textId="6D71FEC0" w:rsidR="003D3CD2" w:rsidRPr="003D3CD2" w:rsidRDefault="00CC1C8E" w:rsidP="003D3CD2">
      <w:pPr>
        <w:rPr>
          <w:rFonts w:ascii="Filson Pro Light" w:hAnsi="Filson Pro Light"/>
        </w:rPr>
      </w:pPr>
      <w:r>
        <w:rPr>
          <w:rFonts w:ascii="Filson Pro Light" w:hAnsi="Filson Pro Light"/>
          <w:noProof/>
        </w:rPr>
        <mc:AlternateContent>
          <mc:Choice Requires="wps">
            <w:drawing>
              <wp:anchor distT="0" distB="0" distL="114300" distR="114300" simplePos="0" relativeHeight="251663360" behindDoc="0" locked="0" layoutInCell="1" allowOverlap="1" wp14:anchorId="1C6AD210" wp14:editId="4946EFEE">
                <wp:simplePos x="0" y="0"/>
                <wp:positionH relativeFrom="margin">
                  <wp:align>left</wp:align>
                </wp:positionH>
                <wp:positionV relativeFrom="paragraph">
                  <wp:posOffset>61306</wp:posOffset>
                </wp:positionV>
                <wp:extent cx="5600700" cy="0"/>
                <wp:effectExtent l="38100" t="57150" r="76200" b="114300"/>
                <wp:wrapNone/>
                <wp:docPr id="21670784"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w="28575">
                          <a:solidFill>
                            <a:schemeClr val="accent5">
                              <a:lumMod val="60000"/>
                              <a:lumOff val="4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DEDB73" id="Straight Connector 1"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4.85pt" to="44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" strokecolor="#d86dcb [1944]" strokeweight="2.25pt">
                <v:stroke joinstyle="miter"/>
                <v:shadow on="t" color="black" opacity="26214f" origin="-.5,-.5" offset=".74836mm,.74836mm"/>
                <w10:wrap anchorx="margin"/>
              </v:line>
            </w:pict>
          </mc:Fallback>
        </mc:AlternateContent>
      </w:r>
    </w:p>
    <w:p w14:paraId="4A8D962A" w14:textId="29AF7934" w:rsidR="003D3CD2" w:rsidRPr="003D3CD2" w:rsidRDefault="003D3CD2" w:rsidP="00CC1C8E">
      <w:pPr>
        <w:jc w:val="center"/>
        <w:rPr>
          <w:rFonts w:ascii="Filson Pro Light" w:hAnsi="Filson Pro Light"/>
          <w:b/>
          <w:bCs/>
        </w:rPr>
      </w:pPr>
      <w:r w:rsidRPr="003D3CD2">
        <w:rPr>
          <w:rFonts w:ascii="Filson Pro Light" w:hAnsi="Filson Pro Light"/>
          <w:b/>
          <w:bCs/>
        </w:rPr>
        <w:t xml:space="preserve">3. Standards for </w:t>
      </w:r>
      <w:r w:rsidR="009A20E4">
        <w:rPr>
          <w:rFonts w:ascii="Filson Pro Light" w:hAnsi="Filson Pro Light"/>
          <w:b/>
          <w:bCs/>
        </w:rPr>
        <w:t>s</w:t>
      </w:r>
      <w:r w:rsidRPr="003D3CD2">
        <w:rPr>
          <w:rFonts w:ascii="Filson Pro Light" w:hAnsi="Filson Pro Light"/>
          <w:b/>
          <w:bCs/>
        </w:rPr>
        <w:t xml:space="preserve">pecific </w:t>
      </w:r>
      <w:r w:rsidR="009A20E4">
        <w:rPr>
          <w:rFonts w:ascii="Filson Pro Light" w:hAnsi="Filson Pro Light"/>
          <w:b/>
          <w:bCs/>
        </w:rPr>
        <w:t>f</w:t>
      </w:r>
      <w:r w:rsidRPr="003D3CD2">
        <w:rPr>
          <w:rFonts w:ascii="Filson Pro Light" w:hAnsi="Filson Pro Light"/>
          <w:b/>
          <w:bCs/>
        </w:rPr>
        <w:t xml:space="preserve">undraising </w:t>
      </w:r>
      <w:r w:rsidR="009A20E4">
        <w:rPr>
          <w:rFonts w:ascii="Filson Pro Light" w:hAnsi="Filson Pro Light"/>
          <w:b/>
          <w:bCs/>
        </w:rPr>
        <w:t>m</w:t>
      </w:r>
      <w:r w:rsidRPr="003D3CD2">
        <w:rPr>
          <w:rFonts w:ascii="Filson Pro Light" w:hAnsi="Filson Pro Light"/>
          <w:b/>
          <w:bCs/>
        </w:rPr>
        <w:t>ethods</w:t>
      </w:r>
    </w:p>
    <w:p w14:paraId="5DFA3E8D" w14:textId="4052750B" w:rsidR="00CC1C8E" w:rsidRPr="00CC1C8E" w:rsidRDefault="00CC1C8E" w:rsidP="00CC1C8E">
      <w:pPr>
        <w:rPr>
          <w:rFonts w:ascii="Filson Pro Light" w:hAnsi="Filson Pro Light"/>
          <w:b/>
          <w:bCs/>
        </w:rPr>
      </w:pPr>
      <w:r w:rsidRPr="00CC1C8E">
        <w:rPr>
          <w:rFonts w:ascii="Filson Pro Light" w:hAnsi="Filson Pro Light"/>
          <w:b/>
          <w:bCs/>
        </w:rPr>
        <w:t xml:space="preserve">3.1 Event </w:t>
      </w:r>
      <w:r w:rsidR="00265037">
        <w:rPr>
          <w:rFonts w:ascii="Filson Pro Light" w:hAnsi="Filson Pro Light"/>
          <w:b/>
          <w:bCs/>
        </w:rPr>
        <w:t>f</w:t>
      </w:r>
      <w:r w:rsidRPr="00CC1C8E">
        <w:rPr>
          <w:rFonts w:ascii="Filson Pro Light" w:hAnsi="Filson Pro Light"/>
          <w:b/>
          <w:bCs/>
        </w:rPr>
        <w:t>undraising</w:t>
      </w:r>
    </w:p>
    <w:p w14:paraId="643E9969" w14:textId="77777777" w:rsidR="00CC1C8E" w:rsidRPr="00CC1C8E" w:rsidRDefault="00CC1C8E" w:rsidP="00CC1C8E">
      <w:pPr>
        <w:jc w:val="both"/>
        <w:rPr>
          <w:rFonts w:ascii="Filson Pro Light" w:hAnsi="Filson Pro Light"/>
        </w:rPr>
      </w:pPr>
      <w:r w:rsidRPr="00CC1C8E">
        <w:rPr>
          <w:rFonts w:ascii="Filson Pro Light" w:hAnsi="Filson Pro Light"/>
        </w:rPr>
        <w:t xml:space="preserve">All fundraising events organised by or on behalf of </w:t>
      </w:r>
      <w:r w:rsidRPr="00CC1C8E">
        <w:rPr>
          <w:rFonts w:ascii="Filson Pro Light" w:hAnsi="Filson Pro Light"/>
          <w:highlight w:val="yellow"/>
        </w:rPr>
        <w:t>[Charitable Institution Name]</w:t>
      </w:r>
      <w:r w:rsidRPr="00CC1C8E">
        <w:rPr>
          <w:rFonts w:ascii="Filson Pro Light" w:hAnsi="Filson Pro Light"/>
        </w:rPr>
        <w:t xml:space="preserve"> must be carefully planned and managed to ensure they are safe, lawful, and transparent for all involved. Before any event takes place, an appropriate risk assessment must be carried out to identify and manage potential health, safety, and insurance considerations. The level of planning and safeguards should reflect the nature of the activity, whether it is an in-person event, virtual event, or physical challenge.</w:t>
      </w:r>
    </w:p>
    <w:p w14:paraId="50904A74" w14:textId="77777777" w:rsidR="00CC1C8E" w:rsidRPr="00CC1C8E" w:rsidRDefault="00CC1C8E" w:rsidP="00CC1C8E">
      <w:pPr>
        <w:jc w:val="both"/>
        <w:rPr>
          <w:rFonts w:ascii="Filson Pro Light" w:hAnsi="Filson Pro Light"/>
        </w:rPr>
      </w:pPr>
      <w:r w:rsidRPr="00CC1C8E">
        <w:rPr>
          <w:rFonts w:ascii="Filson Pro Light" w:hAnsi="Filson Pro Light"/>
        </w:rPr>
        <w:t>The organisation will ensure that all necessary permissions and licences are obtained for the use of venues or public spaces, and that any local authority or land-use guidance is followed. Participants must be given clear and accurate information about the event, including any fundraising expectations, personal costs, and conditions of participation, so they can make an informed decision about their involvement.</w:t>
      </w:r>
    </w:p>
    <w:p w14:paraId="4A8520E7" w14:textId="77777777" w:rsidR="00CC1C8E" w:rsidRPr="00CC1C8E" w:rsidRDefault="00CC1C8E" w:rsidP="00CC1C8E">
      <w:pPr>
        <w:jc w:val="both"/>
        <w:rPr>
          <w:rFonts w:ascii="Filson Pro Light" w:hAnsi="Filson Pro Light"/>
        </w:rPr>
      </w:pPr>
      <w:r w:rsidRPr="00CC1C8E">
        <w:rPr>
          <w:rFonts w:ascii="Filson Pro Light" w:hAnsi="Filson Pro Light"/>
        </w:rPr>
        <w:lastRenderedPageBreak/>
        <w:t>Where sponsorship is involved, forms and fundraising materials must clearly explain any conditions attached to donations, such as completing a challenge. There must also be clear procedures in place for handling refunds if conditions are not met or if the event is cancelled. All events must be delivered in a way that is inclusive and compliant with the Equality Act 2010 (or the relevant legislation in Northern Ireland), ensuring fair access and consideration for all participants.</w:t>
      </w:r>
    </w:p>
    <w:p w14:paraId="704C12CF" w14:textId="77777777" w:rsidR="00CC1C8E" w:rsidRPr="00CC1C8E" w:rsidRDefault="00CC1C8E" w:rsidP="00265037">
      <w:pPr>
        <w:jc w:val="center"/>
        <w:rPr>
          <w:rFonts w:ascii="Filson Pro Light" w:hAnsi="Filson Pro Light"/>
          <w:i/>
          <w:iCs/>
        </w:rPr>
      </w:pPr>
      <w:r w:rsidRPr="00CC1C8E">
        <w:rPr>
          <w:rFonts w:ascii="Filson Pro Light" w:hAnsi="Filson Pro Light"/>
          <w:i/>
          <w:iCs/>
        </w:rPr>
        <w:t>Cross-reference: Sections 10 and 6 of the Code of Fundraising Practice.</w:t>
      </w:r>
    </w:p>
    <w:p w14:paraId="537E411B" w14:textId="77777777" w:rsidR="00265037" w:rsidRDefault="00265037" w:rsidP="00CC1C8E">
      <w:pPr>
        <w:rPr>
          <w:rFonts w:ascii="Filson Pro Light" w:hAnsi="Filson Pro Light"/>
          <w:b/>
          <w:bCs/>
        </w:rPr>
      </w:pPr>
    </w:p>
    <w:p w14:paraId="44B42169" w14:textId="41D8D0B9" w:rsidR="00CC1C8E" w:rsidRPr="00CC1C8E" w:rsidRDefault="00CC1C8E" w:rsidP="00CC1C8E">
      <w:pPr>
        <w:rPr>
          <w:rFonts w:ascii="Filson Pro Light" w:hAnsi="Filson Pro Light"/>
          <w:b/>
          <w:bCs/>
        </w:rPr>
      </w:pPr>
      <w:r w:rsidRPr="00CC1C8E">
        <w:rPr>
          <w:rFonts w:ascii="Filson Pro Light" w:hAnsi="Filson Pro Light"/>
          <w:b/>
          <w:bCs/>
        </w:rPr>
        <w:t>3.</w:t>
      </w:r>
      <w:r w:rsidR="00265037">
        <w:rPr>
          <w:rFonts w:ascii="Filson Pro Light" w:hAnsi="Filson Pro Light"/>
          <w:b/>
          <w:bCs/>
        </w:rPr>
        <w:t>2</w:t>
      </w:r>
      <w:r w:rsidRPr="00CC1C8E">
        <w:rPr>
          <w:rFonts w:ascii="Filson Pro Light" w:hAnsi="Filson Pro Light"/>
          <w:b/>
          <w:bCs/>
        </w:rPr>
        <w:t xml:space="preserve"> Prize </w:t>
      </w:r>
      <w:r w:rsidR="009A20E4">
        <w:rPr>
          <w:rFonts w:ascii="Filson Pro Light" w:hAnsi="Filson Pro Light"/>
          <w:b/>
          <w:bCs/>
        </w:rPr>
        <w:t>c</w:t>
      </w:r>
      <w:r w:rsidRPr="00CC1C8E">
        <w:rPr>
          <w:rFonts w:ascii="Filson Pro Light" w:hAnsi="Filson Pro Light"/>
          <w:b/>
          <w:bCs/>
        </w:rPr>
        <w:t xml:space="preserve">ompetitions </w:t>
      </w:r>
    </w:p>
    <w:p w14:paraId="4D729502" w14:textId="77777777" w:rsidR="00CC1C8E" w:rsidRPr="00CC1C8E" w:rsidRDefault="00CC1C8E" w:rsidP="00CC1C8E">
      <w:pPr>
        <w:jc w:val="both"/>
        <w:rPr>
          <w:rFonts w:ascii="Filson Pro Light" w:hAnsi="Filson Pro Light"/>
        </w:rPr>
      </w:pPr>
      <w:r w:rsidRPr="00CC1C8E">
        <w:rPr>
          <w:rFonts w:ascii="Filson Pro Light" w:hAnsi="Filson Pro Light"/>
        </w:rPr>
        <w:t xml:space="preserve">Prize competitions and free draws carried out in aid of </w:t>
      </w:r>
      <w:r w:rsidRPr="00CC1C8E">
        <w:rPr>
          <w:rFonts w:ascii="Filson Pro Light" w:hAnsi="Filson Pro Light"/>
          <w:highlight w:val="yellow"/>
        </w:rPr>
        <w:t>[Charitable Institution Name]</w:t>
      </w:r>
      <w:r w:rsidRPr="00CC1C8E">
        <w:rPr>
          <w:rFonts w:ascii="Filson Pro Light" w:hAnsi="Filson Pro Light"/>
        </w:rPr>
        <w:t xml:space="preserve"> must be properly authorised in advance and conducted in a fair, transparent, and accountable manner. Written permission must be obtained from the organisation before any such activity is undertaken.</w:t>
      </w:r>
    </w:p>
    <w:p w14:paraId="3FCB3BBA" w14:textId="77777777" w:rsidR="00CC1C8E" w:rsidRPr="00CC1C8E" w:rsidRDefault="00CC1C8E" w:rsidP="00CC1C8E">
      <w:pPr>
        <w:jc w:val="both"/>
        <w:rPr>
          <w:rFonts w:ascii="Filson Pro Light" w:hAnsi="Filson Pro Light"/>
        </w:rPr>
      </w:pPr>
      <w:r w:rsidRPr="00CC1C8E">
        <w:rPr>
          <w:rFonts w:ascii="Filson Pro Light" w:hAnsi="Filson Pro Light"/>
        </w:rPr>
        <w:t xml:space="preserve">All promotional materials and communications must clearly identify the organiser and provide easy access to the terms and conditions of the competition or draw. Draws must be conducted in a way that is genuinely random, with appropriate records kept </w:t>
      </w:r>
      <w:proofErr w:type="gramStart"/>
      <w:r w:rsidRPr="00CC1C8E">
        <w:rPr>
          <w:rFonts w:ascii="Filson Pro Light" w:hAnsi="Filson Pro Light"/>
        </w:rPr>
        <w:t>to demonstrate</w:t>
      </w:r>
      <w:proofErr w:type="gramEnd"/>
      <w:r w:rsidRPr="00CC1C8E">
        <w:rPr>
          <w:rFonts w:ascii="Filson Pro Light" w:hAnsi="Filson Pro Light"/>
        </w:rPr>
        <w:t xml:space="preserve"> fairness and accountability.</w:t>
      </w:r>
    </w:p>
    <w:p w14:paraId="72BF2BC7" w14:textId="77777777" w:rsidR="00CC1C8E" w:rsidRPr="00CC1C8E" w:rsidRDefault="00CC1C8E" w:rsidP="00CC1C8E">
      <w:pPr>
        <w:jc w:val="both"/>
        <w:rPr>
          <w:rFonts w:ascii="Filson Pro Light" w:hAnsi="Filson Pro Light"/>
        </w:rPr>
      </w:pPr>
      <w:r w:rsidRPr="00CC1C8E">
        <w:rPr>
          <w:rFonts w:ascii="Filson Pro Light" w:hAnsi="Filson Pro Light"/>
        </w:rPr>
        <w:t>Winners should be contacted promptly, normally within seven days, and results should be made public unless a winner has requested anonymity. Where both free and paid entry routes are available, they must be treated equally in the selection process to ensure fairness and compliance with relevant regulations.</w:t>
      </w:r>
    </w:p>
    <w:p w14:paraId="2AFF7000" w14:textId="77777777" w:rsidR="00CC1C8E" w:rsidRPr="00265037" w:rsidRDefault="00CC1C8E" w:rsidP="00265037">
      <w:pPr>
        <w:ind w:left="720"/>
        <w:jc w:val="both"/>
        <w:rPr>
          <w:rFonts w:ascii="Filson Pro Light" w:hAnsi="Filson Pro Light"/>
          <w:i/>
          <w:iCs/>
        </w:rPr>
      </w:pPr>
      <w:r w:rsidRPr="00CC1C8E">
        <w:rPr>
          <w:rFonts w:ascii="Filson Pro Light" w:hAnsi="Filson Pro Light"/>
          <w:i/>
          <w:iCs/>
        </w:rPr>
        <w:t>Cross-reference: Section 11 of the Code of Fundraising Practice.</w:t>
      </w:r>
    </w:p>
    <w:p w14:paraId="11D6CFF7" w14:textId="77777777" w:rsidR="00265037" w:rsidRPr="00CC1C8E" w:rsidRDefault="00265037" w:rsidP="00CC1C8E">
      <w:pPr>
        <w:jc w:val="both"/>
        <w:rPr>
          <w:rFonts w:ascii="Filson Pro Light" w:hAnsi="Filson Pro Light"/>
        </w:rPr>
      </w:pPr>
    </w:p>
    <w:p w14:paraId="3A7306A6" w14:textId="7AD1AE97" w:rsidR="00CC1C8E" w:rsidRPr="00CC1C8E" w:rsidRDefault="00CC1C8E" w:rsidP="00CC1C8E">
      <w:pPr>
        <w:rPr>
          <w:rFonts w:ascii="Filson Pro Light" w:hAnsi="Filson Pro Light"/>
          <w:b/>
          <w:bCs/>
        </w:rPr>
      </w:pPr>
      <w:r w:rsidRPr="00CC1C8E">
        <w:rPr>
          <w:rFonts w:ascii="Filson Pro Light" w:hAnsi="Filson Pro Light"/>
          <w:b/>
          <w:bCs/>
        </w:rPr>
        <w:t>3.</w:t>
      </w:r>
      <w:r w:rsidR="00265037">
        <w:rPr>
          <w:rFonts w:ascii="Filson Pro Light" w:hAnsi="Filson Pro Light"/>
          <w:b/>
          <w:bCs/>
        </w:rPr>
        <w:t>3</w:t>
      </w:r>
      <w:r w:rsidRPr="00CC1C8E">
        <w:rPr>
          <w:rFonts w:ascii="Filson Pro Light" w:hAnsi="Filson Pro Light"/>
          <w:b/>
          <w:bCs/>
        </w:rPr>
        <w:t xml:space="preserve"> Grant-</w:t>
      </w:r>
      <w:r w:rsidR="00265037">
        <w:rPr>
          <w:rFonts w:ascii="Filson Pro Light" w:hAnsi="Filson Pro Light"/>
          <w:b/>
          <w:bCs/>
        </w:rPr>
        <w:t>m</w:t>
      </w:r>
      <w:r w:rsidRPr="00CC1C8E">
        <w:rPr>
          <w:rFonts w:ascii="Filson Pro Light" w:hAnsi="Filson Pro Light"/>
          <w:b/>
          <w:bCs/>
        </w:rPr>
        <w:t xml:space="preserve">aking </w:t>
      </w:r>
      <w:r w:rsidR="00265037">
        <w:rPr>
          <w:rFonts w:ascii="Filson Pro Light" w:hAnsi="Filson Pro Light"/>
          <w:b/>
          <w:bCs/>
        </w:rPr>
        <w:t>b</w:t>
      </w:r>
      <w:r w:rsidRPr="00CC1C8E">
        <w:rPr>
          <w:rFonts w:ascii="Filson Pro Light" w:hAnsi="Filson Pro Light"/>
          <w:b/>
          <w:bCs/>
        </w:rPr>
        <w:t>odies</w:t>
      </w:r>
    </w:p>
    <w:p w14:paraId="69D2D0EA" w14:textId="77777777" w:rsidR="00CC1C8E" w:rsidRPr="00CC1C8E" w:rsidRDefault="00CC1C8E" w:rsidP="00265037">
      <w:pPr>
        <w:jc w:val="both"/>
        <w:rPr>
          <w:rFonts w:ascii="Filson Pro Light" w:hAnsi="Filson Pro Light"/>
        </w:rPr>
      </w:pPr>
      <w:r w:rsidRPr="00CC1C8E">
        <w:rPr>
          <w:rFonts w:ascii="Filson Pro Light" w:hAnsi="Filson Pro Light"/>
        </w:rPr>
        <w:t xml:space="preserve">When applying for funding from grant-making bodies, </w:t>
      </w:r>
      <w:r w:rsidRPr="00CC1C8E">
        <w:rPr>
          <w:rFonts w:ascii="Filson Pro Light" w:hAnsi="Filson Pro Light"/>
          <w:highlight w:val="yellow"/>
        </w:rPr>
        <w:t>[Charitable Institution Name]</w:t>
      </w:r>
      <w:r w:rsidRPr="00CC1C8E">
        <w:rPr>
          <w:rFonts w:ascii="Filson Pro Light" w:hAnsi="Filson Pro Light"/>
        </w:rPr>
        <w:t xml:space="preserve"> will act responsibly, professionally, and with integrity. Applications must be prepared with care and accuracy, ensuring that any individuals named as referees or supporters have given their permission to be included.</w:t>
      </w:r>
    </w:p>
    <w:p w14:paraId="57A58D34" w14:textId="77777777" w:rsidR="00CC1C8E" w:rsidRPr="00CC1C8E" w:rsidRDefault="00CC1C8E" w:rsidP="00265037">
      <w:pPr>
        <w:jc w:val="both"/>
        <w:rPr>
          <w:rFonts w:ascii="Filson Pro Light" w:hAnsi="Filson Pro Light"/>
        </w:rPr>
      </w:pPr>
      <w:r w:rsidRPr="00CC1C8E">
        <w:rPr>
          <w:rFonts w:ascii="Filson Pro Light" w:hAnsi="Filson Pro Light"/>
        </w:rPr>
        <w:t>Once funding is awarded, the organisation is responsible for complying fully with all terms and conditions attached to the grant, including reporting requirements and any restrictions on how funds may be used. Open and timely communication must be maintained with grant-makers, particularly if circumstances change or if there is a need to vary how funds are applied. Any such changes must be agreed in writing in advance.</w:t>
      </w:r>
    </w:p>
    <w:p w14:paraId="0526E8D3" w14:textId="77777777" w:rsidR="00CC1C8E" w:rsidRPr="00CC1C8E" w:rsidRDefault="00CC1C8E" w:rsidP="00265037">
      <w:pPr>
        <w:jc w:val="both"/>
        <w:rPr>
          <w:rFonts w:ascii="Filson Pro Light" w:hAnsi="Filson Pro Light"/>
        </w:rPr>
      </w:pPr>
      <w:r w:rsidRPr="00CC1C8E">
        <w:rPr>
          <w:rFonts w:ascii="Filson Pro Light" w:hAnsi="Filson Pro Light"/>
        </w:rPr>
        <w:t xml:space="preserve">If a grant application is unsuccessful, the organisation will only pursue an appeal where there are clear and reasonable grounds to do </w:t>
      </w:r>
      <w:proofErr w:type="gramStart"/>
      <w:r w:rsidRPr="00CC1C8E">
        <w:rPr>
          <w:rFonts w:ascii="Filson Pro Light" w:hAnsi="Filson Pro Light"/>
        </w:rPr>
        <w:t>so, and</w:t>
      </w:r>
      <w:proofErr w:type="gramEnd"/>
      <w:r w:rsidRPr="00CC1C8E">
        <w:rPr>
          <w:rFonts w:ascii="Filson Pro Light" w:hAnsi="Filson Pro Light"/>
        </w:rPr>
        <w:t xml:space="preserve"> will respect the processes and decisions of the grant-making body.</w:t>
      </w:r>
    </w:p>
    <w:p w14:paraId="40BE8D77" w14:textId="77777777" w:rsidR="00CC1C8E" w:rsidRPr="00CC1C8E" w:rsidRDefault="00CC1C8E" w:rsidP="00265037">
      <w:pPr>
        <w:jc w:val="center"/>
        <w:rPr>
          <w:rFonts w:ascii="Filson Pro Light" w:hAnsi="Filson Pro Light"/>
          <w:i/>
          <w:iCs/>
        </w:rPr>
      </w:pPr>
      <w:r w:rsidRPr="00CC1C8E">
        <w:rPr>
          <w:rFonts w:ascii="Filson Pro Light" w:hAnsi="Filson Pro Light"/>
          <w:i/>
          <w:iCs/>
        </w:rPr>
        <w:t>Cross-reference: Section 12 of the Code of Fundraising Practice.</w:t>
      </w:r>
    </w:p>
    <w:p w14:paraId="6945EB84" w14:textId="21EC7416" w:rsidR="00CC1C8E" w:rsidRPr="00CC1C8E" w:rsidRDefault="00CC1C8E" w:rsidP="00CC1C8E">
      <w:pPr>
        <w:rPr>
          <w:rFonts w:ascii="Filson Pro Light" w:hAnsi="Filson Pro Light"/>
          <w:b/>
          <w:bCs/>
        </w:rPr>
      </w:pPr>
    </w:p>
    <w:p w14:paraId="3A690643" w14:textId="4BF8EF0F" w:rsidR="00CC1C8E" w:rsidRPr="00CC1C8E" w:rsidRDefault="00CC1C8E" w:rsidP="00CC1C8E">
      <w:pPr>
        <w:rPr>
          <w:rFonts w:ascii="Filson Pro Light" w:hAnsi="Filson Pro Light"/>
          <w:b/>
          <w:bCs/>
        </w:rPr>
      </w:pPr>
      <w:r w:rsidRPr="00CC1C8E">
        <w:rPr>
          <w:rFonts w:ascii="Filson Pro Light" w:hAnsi="Filson Pro Light"/>
          <w:b/>
          <w:bCs/>
        </w:rPr>
        <w:t>3.</w:t>
      </w:r>
      <w:r w:rsidR="00265037">
        <w:rPr>
          <w:rFonts w:ascii="Filson Pro Light" w:hAnsi="Filson Pro Light"/>
          <w:b/>
          <w:bCs/>
        </w:rPr>
        <w:t>4</w:t>
      </w:r>
      <w:r w:rsidRPr="00CC1C8E">
        <w:rPr>
          <w:rFonts w:ascii="Filson Pro Light" w:hAnsi="Filson Pro Light"/>
          <w:b/>
          <w:bCs/>
        </w:rPr>
        <w:t xml:space="preserve"> Payroll </w:t>
      </w:r>
      <w:r w:rsidR="00265037">
        <w:rPr>
          <w:rFonts w:ascii="Filson Pro Light" w:hAnsi="Filson Pro Light"/>
          <w:b/>
          <w:bCs/>
        </w:rPr>
        <w:t>g</w:t>
      </w:r>
      <w:r w:rsidRPr="00CC1C8E">
        <w:rPr>
          <w:rFonts w:ascii="Filson Pro Light" w:hAnsi="Filson Pro Light"/>
          <w:b/>
          <w:bCs/>
        </w:rPr>
        <w:t xml:space="preserve">iving </w:t>
      </w:r>
    </w:p>
    <w:p w14:paraId="6A2213FA" w14:textId="77777777" w:rsidR="00CC1C8E" w:rsidRPr="00CC1C8E" w:rsidRDefault="00CC1C8E" w:rsidP="00265037">
      <w:pPr>
        <w:jc w:val="both"/>
        <w:rPr>
          <w:rFonts w:ascii="Filson Pro Light" w:hAnsi="Filson Pro Light"/>
        </w:rPr>
      </w:pPr>
      <w:r w:rsidRPr="00CC1C8E">
        <w:rPr>
          <w:rFonts w:ascii="Filson Pro Light" w:hAnsi="Filson Pro Light"/>
        </w:rPr>
        <w:t>Payroll Giving and other post-tax donation schemes must be administered in a way that is transparent, fair, and compliant with legal and regulatory requirements. Donors must be clearly informed that they have the right to stop or amend their donations at any time.</w:t>
      </w:r>
    </w:p>
    <w:p w14:paraId="38653D48" w14:textId="77777777" w:rsidR="00CC1C8E" w:rsidRPr="00CC1C8E" w:rsidRDefault="00CC1C8E" w:rsidP="00265037">
      <w:pPr>
        <w:jc w:val="both"/>
        <w:rPr>
          <w:rFonts w:ascii="Filson Pro Light" w:hAnsi="Filson Pro Light"/>
        </w:rPr>
      </w:pPr>
      <w:r w:rsidRPr="00CC1C8E">
        <w:rPr>
          <w:rFonts w:ascii="Filson Pro Light" w:hAnsi="Filson Pro Light"/>
        </w:rPr>
        <w:lastRenderedPageBreak/>
        <w:t>No benefits, inducements, or incentives may be offered in exchange for donations, and any references to tax relief must be accurate and in line with HMRC guidance. Fundraisers must present information in a balanced and impartial way, particularly where multiple charities are involved, and must ensure that donor instructions are processed promptly and correctly.</w:t>
      </w:r>
    </w:p>
    <w:p w14:paraId="1EECB65F" w14:textId="77777777" w:rsidR="00CC1C8E" w:rsidRPr="00CC1C8E" w:rsidRDefault="00CC1C8E" w:rsidP="00265037">
      <w:pPr>
        <w:jc w:val="both"/>
        <w:rPr>
          <w:rFonts w:ascii="Filson Pro Light" w:hAnsi="Filson Pro Light"/>
        </w:rPr>
      </w:pPr>
      <w:r w:rsidRPr="00CC1C8E">
        <w:rPr>
          <w:rFonts w:ascii="Filson Pro Light" w:hAnsi="Filson Pro Light"/>
        </w:rPr>
        <w:t>Where fundraising takes place in a workplace setting, prior agreement must be obtained from the employer, and all fundraisers must be clearly identifiable, for example through visible ID badges. All parties involved, including employers and agencies, must comply with the Charitable Deductions (Approved Schemes) Regulations 1986 and any other relevant legislation.</w:t>
      </w:r>
    </w:p>
    <w:p w14:paraId="7A1D0B5D" w14:textId="77777777" w:rsidR="00CC1C8E" w:rsidRPr="00CC1C8E" w:rsidRDefault="00CC1C8E" w:rsidP="00265037">
      <w:pPr>
        <w:jc w:val="center"/>
        <w:rPr>
          <w:rFonts w:ascii="Filson Pro Light" w:hAnsi="Filson Pro Light"/>
          <w:i/>
          <w:iCs/>
        </w:rPr>
      </w:pPr>
      <w:r w:rsidRPr="00CC1C8E">
        <w:rPr>
          <w:rFonts w:ascii="Filson Pro Light" w:hAnsi="Filson Pro Light"/>
          <w:i/>
          <w:iCs/>
        </w:rPr>
        <w:t>Cross-reference: Section 13 of the Code of Fundraising Practice and HMRC guidance.</w:t>
      </w:r>
    </w:p>
    <w:p w14:paraId="677EDCC7" w14:textId="77777777" w:rsidR="00265037" w:rsidRDefault="00265037" w:rsidP="00CC1C8E">
      <w:pPr>
        <w:rPr>
          <w:rFonts w:ascii="Filson Pro Light" w:hAnsi="Filson Pro Light"/>
          <w:b/>
          <w:bCs/>
        </w:rPr>
      </w:pPr>
    </w:p>
    <w:p w14:paraId="771AD76B" w14:textId="6E9DB421" w:rsidR="00CC1C8E" w:rsidRPr="00CC1C8E" w:rsidRDefault="00CC1C8E" w:rsidP="00CC1C8E">
      <w:pPr>
        <w:rPr>
          <w:rFonts w:ascii="Filson Pro Light" w:hAnsi="Filson Pro Light"/>
          <w:b/>
          <w:bCs/>
        </w:rPr>
      </w:pPr>
      <w:r w:rsidRPr="00CC1C8E">
        <w:rPr>
          <w:rFonts w:ascii="Filson Pro Light" w:hAnsi="Filson Pro Light"/>
          <w:b/>
          <w:bCs/>
        </w:rPr>
        <w:t>3.</w:t>
      </w:r>
      <w:r w:rsidR="00265037">
        <w:rPr>
          <w:rFonts w:ascii="Filson Pro Light" w:hAnsi="Filson Pro Light"/>
          <w:b/>
          <w:bCs/>
        </w:rPr>
        <w:t>5</w:t>
      </w:r>
      <w:r w:rsidRPr="00CC1C8E">
        <w:rPr>
          <w:rFonts w:ascii="Filson Pro Light" w:hAnsi="Filson Pro Light"/>
          <w:b/>
          <w:bCs/>
        </w:rPr>
        <w:t xml:space="preserve"> Legacies</w:t>
      </w:r>
    </w:p>
    <w:p w14:paraId="5BC71250" w14:textId="77777777" w:rsidR="00CC1C8E" w:rsidRPr="00CC1C8E" w:rsidRDefault="00CC1C8E" w:rsidP="00265037">
      <w:pPr>
        <w:jc w:val="both"/>
        <w:rPr>
          <w:rFonts w:ascii="Filson Pro Light" w:hAnsi="Filson Pro Light"/>
        </w:rPr>
      </w:pPr>
      <w:r w:rsidRPr="00CC1C8E">
        <w:rPr>
          <w:rFonts w:ascii="Filson Pro Light" w:hAnsi="Filson Pro Light"/>
        </w:rPr>
        <w:t xml:space="preserve">Legacy fundraising must always be approached with sensitivity, respect, and integrity. </w:t>
      </w:r>
      <w:r w:rsidRPr="00CC1C8E">
        <w:rPr>
          <w:rFonts w:ascii="Filson Pro Light" w:hAnsi="Filson Pro Light"/>
          <w:highlight w:val="yellow"/>
        </w:rPr>
        <w:t>[Charitable Institution Name]</w:t>
      </w:r>
      <w:r w:rsidRPr="00CC1C8E">
        <w:rPr>
          <w:rFonts w:ascii="Filson Pro Light" w:hAnsi="Filson Pro Light"/>
        </w:rPr>
        <w:t xml:space="preserve"> recognises that decisions about leaving a gift in a will are deeply personal, and fundraisers must respect the freedom of individuals to provide for their family and others as they choose, without any form of undue pressure.</w:t>
      </w:r>
    </w:p>
    <w:p w14:paraId="7F167D5F" w14:textId="77777777" w:rsidR="00CC1C8E" w:rsidRPr="00CC1C8E" w:rsidRDefault="00CC1C8E" w:rsidP="00265037">
      <w:pPr>
        <w:jc w:val="both"/>
        <w:rPr>
          <w:rFonts w:ascii="Filson Pro Light" w:hAnsi="Filson Pro Light"/>
        </w:rPr>
      </w:pPr>
      <w:r w:rsidRPr="00CC1C8E">
        <w:rPr>
          <w:rFonts w:ascii="Filson Pro Light" w:hAnsi="Filson Pro Light"/>
        </w:rPr>
        <w:t>All communications about legacies must be clear, accurate, and presented in a way that does not constitute legal advice. Supporters should be encouraged to seek independent legal guidance when making or updating a will. Fundraisers must not benefit personally from any legacy and must report any offers of personal gifts in line with organisational policy.</w:t>
      </w:r>
    </w:p>
    <w:p w14:paraId="1CD49E73" w14:textId="77777777" w:rsidR="00CC1C8E" w:rsidRPr="00CC1C8E" w:rsidRDefault="00CC1C8E" w:rsidP="00265037">
      <w:pPr>
        <w:jc w:val="both"/>
        <w:rPr>
          <w:rFonts w:ascii="Filson Pro Light" w:hAnsi="Filson Pro Light"/>
        </w:rPr>
      </w:pPr>
      <w:r w:rsidRPr="00CC1C8E">
        <w:rPr>
          <w:rFonts w:ascii="Filson Pro Light" w:hAnsi="Filson Pro Light"/>
        </w:rPr>
        <w:t>Where the organisation offers to contribute to or pay for will-writing services, this must be done transparently, ensuring that the individual has a genuine choice of provider and access to independent advice. Any legacy that includes conditions or restrictions will only be accepted where those conditions are lawful, feasible, and consistent with the organisation’s charitable purposes, and must be clearly recorded.</w:t>
      </w:r>
    </w:p>
    <w:p w14:paraId="23CF5BD9" w14:textId="77777777" w:rsidR="00CC1C8E" w:rsidRDefault="00CC1C8E" w:rsidP="00265037">
      <w:pPr>
        <w:jc w:val="center"/>
        <w:rPr>
          <w:rFonts w:ascii="Filson Pro Light" w:hAnsi="Filson Pro Light"/>
          <w:i/>
          <w:iCs/>
        </w:rPr>
      </w:pPr>
      <w:r w:rsidRPr="00CC1C8E">
        <w:rPr>
          <w:rFonts w:ascii="Filson Pro Light" w:hAnsi="Filson Pro Light"/>
          <w:i/>
          <w:iCs/>
        </w:rPr>
        <w:t>Cross-reference: Section 14 of the Code of Fundraising Practice and Chartered Institute of Fundraising guidance on legacy fundraising.</w:t>
      </w:r>
    </w:p>
    <w:p w14:paraId="512CFFC1" w14:textId="77777777" w:rsidR="009A20E4" w:rsidRDefault="009A20E4" w:rsidP="00265037">
      <w:pPr>
        <w:jc w:val="center"/>
        <w:rPr>
          <w:rFonts w:ascii="Filson Pro Light" w:hAnsi="Filson Pro Light"/>
          <w:i/>
          <w:iCs/>
        </w:rPr>
      </w:pPr>
    </w:p>
    <w:p w14:paraId="44C382A1" w14:textId="7DC69C07" w:rsidR="009A20E4" w:rsidRPr="009A20E4" w:rsidRDefault="009A20E4" w:rsidP="009A20E4">
      <w:pPr>
        <w:jc w:val="both"/>
        <w:rPr>
          <w:rFonts w:ascii="Filson Pro Light" w:hAnsi="Filson Pro Light"/>
          <w:b/>
          <w:bCs/>
        </w:rPr>
      </w:pPr>
      <w:r w:rsidRPr="009A20E4">
        <w:rPr>
          <w:rFonts w:ascii="Filson Pro Light" w:hAnsi="Filson Pro Light"/>
          <w:b/>
          <w:bCs/>
        </w:rPr>
        <w:t>3.</w:t>
      </w:r>
      <w:r>
        <w:rPr>
          <w:rFonts w:ascii="Filson Pro Light" w:hAnsi="Filson Pro Light"/>
          <w:b/>
          <w:bCs/>
        </w:rPr>
        <w:t>6</w:t>
      </w:r>
      <w:r w:rsidRPr="009A20E4">
        <w:rPr>
          <w:rFonts w:ascii="Filson Pro Light" w:hAnsi="Filson Pro Light"/>
          <w:b/>
          <w:bCs/>
        </w:rPr>
        <w:t xml:space="preserve"> Fundraising Appeals</w:t>
      </w:r>
    </w:p>
    <w:p w14:paraId="1B773681" w14:textId="77777777" w:rsidR="009A20E4" w:rsidRPr="009A20E4" w:rsidRDefault="009A20E4" w:rsidP="009A20E4">
      <w:pPr>
        <w:jc w:val="both"/>
        <w:rPr>
          <w:rFonts w:ascii="Filson Pro Light" w:hAnsi="Filson Pro Light"/>
        </w:rPr>
      </w:pPr>
      <w:r w:rsidRPr="009A20E4">
        <w:rPr>
          <w:rFonts w:ascii="Filson Pro Light" w:hAnsi="Filson Pro Light"/>
          <w:highlight w:val="yellow"/>
        </w:rPr>
        <w:t>[Charitable Institution Name]</w:t>
      </w:r>
      <w:r w:rsidRPr="009A20E4">
        <w:rPr>
          <w:rFonts w:ascii="Filson Pro Light" w:hAnsi="Filson Pro Light"/>
        </w:rPr>
        <w:t xml:space="preserve"> may undertake specific fundraising appeals for </w:t>
      </w:r>
      <w:proofErr w:type="gramStart"/>
      <w:r w:rsidRPr="009A20E4">
        <w:rPr>
          <w:rFonts w:ascii="Filson Pro Light" w:hAnsi="Filson Pro Light"/>
        </w:rPr>
        <w:t>particular projects</w:t>
      </w:r>
      <w:proofErr w:type="gramEnd"/>
      <w:r w:rsidRPr="009A20E4">
        <w:rPr>
          <w:rFonts w:ascii="Filson Pro Light" w:hAnsi="Filson Pro Light"/>
        </w:rPr>
        <w:t xml:space="preserve">, activities, or urgent needs. All appeals will be conducted </w:t>
      </w:r>
      <w:proofErr w:type="gramStart"/>
      <w:r w:rsidRPr="009A20E4">
        <w:rPr>
          <w:rFonts w:ascii="Filson Pro Light" w:hAnsi="Filson Pro Light"/>
        </w:rPr>
        <w:t>in a way that is clear</w:t>
      </w:r>
      <w:proofErr w:type="gramEnd"/>
      <w:r w:rsidRPr="009A20E4">
        <w:rPr>
          <w:rFonts w:ascii="Filson Pro Light" w:hAnsi="Filson Pro Light"/>
        </w:rPr>
        <w:t>, transparent, and consistent with donor expectations.</w:t>
      </w:r>
    </w:p>
    <w:p w14:paraId="4772A870" w14:textId="77777777" w:rsidR="009A20E4" w:rsidRPr="009A20E4" w:rsidRDefault="009A20E4" w:rsidP="009A20E4">
      <w:pPr>
        <w:jc w:val="both"/>
        <w:rPr>
          <w:rFonts w:ascii="Filson Pro Light" w:hAnsi="Filson Pro Light"/>
        </w:rPr>
      </w:pPr>
      <w:r w:rsidRPr="009A20E4">
        <w:rPr>
          <w:rFonts w:ascii="Filson Pro Light" w:hAnsi="Filson Pro Light"/>
        </w:rPr>
        <w:t>When launching an appeal, the organisation will ensure that all communications accurately describe the purpose of the appeal, how funds will be used, and whether donations are restricted to a specific activity or may be used more broadly. Care will be taken to avoid creating unrealistic expectations or implying outcomes that cannot be guaranteed.</w:t>
      </w:r>
    </w:p>
    <w:p w14:paraId="14B4A5A9" w14:textId="7F64D6C8" w:rsidR="009A20E4" w:rsidRPr="009A20E4" w:rsidRDefault="009A20E4" w:rsidP="009A20E4">
      <w:pPr>
        <w:jc w:val="both"/>
        <w:rPr>
          <w:rFonts w:ascii="Filson Pro Light" w:hAnsi="Filson Pro Light"/>
        </w:rPr>
      </w:pPr>
      <w:r w:rsidRPr="009A20E4">
        <w:rPr>
          <w:rFonts w:ascii="Filson Pro Light" w:hAnsi="Filson Pro Light"/>
        </w:rPr>
        <w:t>Where funds are raised for a specific purpose, they will be used in line with that purpose. If it becomes necessary to change how funds are used, this will only be done in accordance with legal requirements and, where appropriate, with the consent of donors or relevant authority.</w:t>
      </w:r>
      <w:r>
        <w:rPr>
          <w:rFonts w:ascii="Filson Pro Light" w:hAnsi="Filson Pro Light"/>
        </w:rPr>
        <w:t xml:space="preserve"> Where more funds are raised than needed, a secondary purpose will be shared at the point of donation.</w:t>
      </w:r>
    </w:p>
    <w:p w14:paraId="7143F71E" w14:textId="77777777" w:rsidR="009A20E4" w:rsidRPr="009A20E4" w:rsidRDefault="009A20E4" w:rsidP="009A20E4">
      <w:pPr>
        <w:jc w:val="both"/>
        <w:rPr>
          <w:rFonts w:ascii="Filson Pro Light" w:hAnsi="Filson Pro Light"/>
        </w:rPr>
      </w:pPr>
      <w:proofErr w:type="gramStart"/>
      <w:r w:rsidRPr="009A20E4">
        <w:rPr>
          <w:rFonts w:ascii="Filson Pro Light" w:hAnsi="Filson Pro Light"/>
        </w:rPr>
        <w:lastRenderedPageBreak/>
        <w:t>Particular care</w:t>
      </w:r>
      <w:proofErr w:type="gramEnd"/>
      <w:r w:rsidRPr="009A20E4">
        <w:rPr>
          <w:rFonts w:ascii="Filson Pro Light" w:hAnsi="Filson Pro Light"/>
        </w:rPr>
        <w:t xml:space="preserve"> will be taken in urgent or emergency appeals to ensure that messaging remains responsible and does not place undue pressure on potential donors. The organisation will also ensure that any images, case studies, or examples used in appeals are accurate, respectful, and used with appropriate consent.</w:t>
      </w:r>
    </w:p>
    <w:p w14:paraId="576C38FA" w14:textId="77777777" w:rsidR="009A20E4" w:rsidRPr="009A20E4" w:rsidRDefault="009A20E4" w:rsidP="009A20E4">
      <w:pPr>
        <w:jc w:val="center"/>
        <w:rPr>
          <w:rFonts w:ascii="Filson Pro Light" w:hAnsi="Filson Pro Light"/>
          <w:i/>
          <w:iCs/>
        </w:rPr>
      </w:pPr>
      <w:r w:rsidRPr="009A20E4">
        <w:rPr>
          <w:rFonts w:ascii="Filson Pro Light" w:hAnsi="Filson Pro Light"/>
          <w:b/>
          <w:bCs/>
          <w:i/>
          <w:iCs/>
        </w:rPr>
        <w:t>Cross-reference:</w:t>
      </w:r>
      <w:r w:rsidRPr="009A20E4">
        <w:rPr>
          <w:rFonts w:ascii="Filson Pro Light" w:hAnsi="Filson Pro Light"/>
          <w:i/>
          <w:iCs/>
        </w:rPr>
        <w:t xml:space="preserve"> Sections relating to fundraising communications, use of funds, and donor transparency in the Code of Fundraising Practice.</w:t>
      </w:r>
    </w:p>
    <w:p w14:paraId="2DB07DE9" w14:textId="04122DF4" w:rsidR="009A20E4" w:rsidRPr="009A20E4" w:rsidRDefault="009A20E4" w:rsidP="009A20E4">
      <w:pPr>
        <w:rPr>
          <w:rFonts w:ascii="Filson Pro Light" w:hAnsi="Filson Pro Light"/>
          <w:b/>
          <w:bCs/>
        </w:rPr>
      </w:pPr>
      <w:r w:rsidRPr="009A20E4">
        <w:rPr>
          <w:rFonts w:ascii="Filson Pro Light" w:hAnsi="Filson Pro Light"/>
          <w:b/>
          <w:bCs/>
        </w:rPr>
        <w:t>3.</w:t>
      </w:r>
      <w:r>
        <w:rPr>
          <w:rFonts w:ascii="Filson Pro Light" w:hAnsi="Filson Pro Light"/>
          <w:b/>
          <w:bCs/>
        </w:rPr>
        <w:t>7</w:t>
      </w:r>
      <w:r w:rsidRPr="009A20E4">
        <w:rPr>
          <w:rFonts w:ascii="Filson Pro Light" w:hAnsi="Filson Pro Light"/>
          <w:b/>
          <w:bCs/>
        </w:rPr>
        <w:t xml:space="preserve"> Regular Giving</w:t>
      </w:r>
    </w:p>
    <w:p w14:paraId="66DB0F10" w14:textId="77777777" w:rsidR="009A20E4" w:rsidRPr="009A20E4" w:rsidRDefault="009A20E4" w:rsidP="009A20E4">
      <w:pPr>
        <w:jc w:val="both"/>
        <w:rPr>
          <w:rFonts w:ascii="Filson Pro Light" w:hAnsi="Filson Pro Light"/>
        </w:rPr>
      </w:pPr>
      <w:r w:rsidRPr="009A20E4">
        <w:rPr>
          <w:rFonts w:ascii="Filson Pro Light" w:hAnsi="Filson Pro Light"/>
          <w:highlight w:val="yellow"/>
        </w:rPr>
        <w:t>[Charitable Institution Name]</w:t>
      </w:r>
      <w:r w:rsidRPr="009A20E4">
        <w:rPr>
          <w:rFonts w:ascii="Filson Pro Light" w:hAnsi="Filson Pro Light"/>
        </w:rPr>
        <w:t xml:space="preserve"> is committed to ensuring that all regular giving arrangements, including direct debits, standing orders, and recurring card payments, are set up and managed in a clear, fair, and transparent way.</w:t>
      </w:r>
    </w:p>
    <w:p w14:paraId="7CDDB439" w14:textId="77777777" w:rsidR="009A20E4" w:rsidRPr="009A20E4" w:rsidRDefault="009A20E4" w:rsidP="009A20E4">
      <w:pPr>
        <w:jc w:val="both"/>
        <w:rPr>
          <w:rFonts w:ascii="Filson Pro Light" w:hAnsi="Filson Pro Light"/>
        </w:rPr>
      </w:pPr>
      <w:r w:rsidRPr="009A20E4">
        <w:rPr>
          <w:rFonts w:ascii="Filson Pro Light" w:hAnsi="Filson Pro Light"/>
        </w:rPr>
        <w:t>Donors will be provided with clear information before committing to a regular donation, including the amount, frequency, and how the donation will be used. They will also be informed of their right to amend or cancel their donation at any time, and this process will be made simple and accessible. The organisation will not place undue pressure on individuals to commit to ongoing donations.</w:t>
      </w:r>
    </w:p>
    <w:p w14:paraId="6057DF9F" w14:textId="77777777" w:rsidR="009A20E4" w:rsidRPr="009A20E4" w:rsidRDefault="009A20E4" w:rsidP="009A20E4">
      <w:pPr>
        <w:jc w:val="both"/>
        <w:rPr>
          <w:rFonts w:ascii="Filson Pro Light" w:hAnsi="Filson Pro Light"/>
        </w:rPr>
      </w:pPr>
      <w:r w:rsidRPr="009A20E4">
        <w:rPr>
          <w:rFonts w:ascii="Filson Pro Light" w:hAnsi="Filson Pro Light"/>
        </w:rPr>
        <w:t xml:space="preserve">All communications relating to regular giving will be accurate and will not mislead donors about the nature of the commitment. </w:t>
      </w:r>
      <w:proofErr w:type="gramStart"/>
      <w:r w:rsidRPr="009A20E4">
        <w:rPr>
          <w:rFonts w:ascii="Filson Pro Light" w:hAnsi="Filson Pro Light"/>
        </w:rPr>
        <w:t>Particular care</w:t>
      </w:r>
      <w:proofErr w:type="gramEnd"/>
      <w:r w:rsidRPr="009A20E4">
        <w:rPr>
          <w:rFonts w:ascii="Filson Pro Light" w:hAnsi="Filson Pro Light"/>
        </w:rPr>
        <w:t xml:space="preserve"> will be taken to ensure that individuals fully understand when they are agreeing to an ongoing financial arrangement rather than a one-off gift.</w:t>
      </w:r>
    </w:p>
    <w:p w14:paraId="262ACCC7" w14:textId="77777777" w:rsidR="009A20E4" w:rsidRPr="009A20E4" w:rsidRDefault="009A20E4" w:rsidP="009A20E4">
      <w:pPr>
        <w:jc w:val="both"/>
        <w:rPr>
          <w:rFonts w:ascii="Filson Pro Light" w:hAnsi="Filson Pro Light"/>
        </w:rPr>
      </w:pPr>
      <w:r w:rsidRPr="009A20E4">
        <w:rPr>
          <w:rFonts w:ascii="Filson Pro Light" w:hAnsi="Filson Pro Light"/>
        </w:rPr>
        <w:t xml:space="preserve">The organisation will maintain accurate records of donor consent and </w:t>
      </w:r>
      <w:proofErr w:type="gramStart"/>
      <w:r w:rsidRPr="009A20E4">
        <w:rPr>
          <w:rFonts w:ascii="Filson Pro Light" w:hAnsi="Filson Pro Light"/>
        </w:rPr>
        <w:t>preferences, and</w:t>
      </w:r>
      <w:proofErr w:type="gramEnd"/>
      <w:r w:rsidRPr="009A20E4">
        <w:rPr>
          <w:rFonts w:ascii="Filson Pro Light" w:hAnsi="Filson Pro Light"/>
        </w:rPr>
        <w:t xml:space="preserve"> will act promptly on any requests to change or cancel a donation. Where concerns arise about a donor’s ability to make an informed decision, appropriate steps will be taken, including pausing or cancelling the arrangement if necessary.</w:t>
      </w:r>
    </w:p>
    <w:p w14:paraId="52FEA4FD" w14:textId="77777777" w:rsidR="009A20E4" w:rsidRPr="009A20E4" w:rsidRDefault="009A20E4" w:rsidP="009A20E4">
      <w:pPr>
        <w:jc w:val="both"/>
        <w:rPr>
          <w:rFonts w:ascii="Filson Pro Light" w:hAnsi="Filson Pro Light"/>
        </w:rPr>
      </w:pPr>
      <w:r w:rsidRPr="009A20E4">
        <w:rPr>
          <w:rFonts w:ascii="Filson Pro Light" w:hAnsi="Filson Pro Light"/>
        </w:rPr>
        <w:t>Regular giving will be managed in compliance with relevant legal and regulatory requirements, including data protection law, payment processing standards, and the Code of Fundraising Practice.</w:t>
      </w:r>
    </w:p>
    <w:p w14:paraId="628F262C" w14:textId="404591E6" w:rsidR="009A20E4" w:rsidRDefault="009A20E4" w:rsidP="009A20E4">
      <w:pPr>
        <w:jc w:val="center"/>
        <w:rPr>
          <w:rFonts w:ascii="Filson Pro Light" w:hAnsi="Filson Pro Light"/>
          <w:i/>
          <w:iCs/>
        </w:rPr>
      </w:pPr>
      <w:r w:rsidRPr="009A20E4">
        <w:rPr>
          <w:rFonts w:ascii="Filson Pro Light" w:hAnsi="Filson Pro Light"/>
          <w:b/>
          <w:bCs/>
          <w:i/>
          <w:iCs/>
        </w:rPr>
        <w:t>Cross-reference:</w:t>
      </w:r>
      <w:r w:rsidRPr="009A20E4">
        <w:rPr>
          <w:rFonts w:ascii="Filson Pro Light" w:hAnsi="Filson Pro Light"/>
          <w:i/>
          <w:iCs/>
        </w:rPr>
        <w:t xml:space="preserve"> Sections relating to fundraising communications, consent, data protection, and processing donations in the Code of Fundraising Practice.</w:t>
      </w:r>
    </w:p>
    <w:p w14:paraId="5B5B2932" w14:textId="77777777" w:rsidR="00B75676" w:rsidRPr="00CC1C8E" w:rsidRDefault="00B75676" w:rsidP="009A20E4">
      <w:pPr>
        <w:jc w:val="center"/>
        <w:rPr>
          <w:rFonts w:ascii="Filson Pro Light" w:hAnsi="Filson Pro Light"/>
          <w:i/>
          <w:iCs/>
        </w:rPr>
      </w:pPr>
    </w:p>
    <w:p w14:paraId="39B96CC3" w14:textId="6621058A" w:rsidR="003D3CD2" w:rsidRPr="003D3CD2" w:rsidRDefault="00265037" w:rsidP="003D3CD2">
      <w:pPr>
        <w:rPr>
          <w:rFonts w:ascii="Filson Pro Light" w:hAnsi="Filson Pro Light"/>
        </w:rPr>
      </w:pPr>
      <w:r>
        <w:rPr>
          <w:rFonts w:ascii="Filson Pro Light" w:hAnsi="Filson Pro Light"/>
          <w:noProof/>
        </w:rPr>
        <mc:AlternateContent>
          <mc:Choice Requires="wps">
            <w:drawing>
              <wp:anchor distT="0" distB="0" distL="114300" distR="114300" simplePos="0" relativeHeight="251665408" behindDoc="0" locked="0" layoutInCell="1" allowOverlap="1" wp14:anchorId="1BDE755F" wp14:editId="4049891D">
                <wp:simplePos x="0" y="0"/>
                <wp:positionH relativeFrom="margin">
                  <wp:posOffset>0</wp:posOffset>
                </wp:positionH>
                <wp:positionV relativeFrom="paragraph">
                  <wp:posOffset>57150</wp:posOffset>
                </wp:positionV>
                <wp:extent cx="5600700" cy="0"/>
                <wp:effectExtent l="38100" t="57150" r="76200" b="114300"/>
                <wp:wrapNone/>
                <wp:docPr id="952524700"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w="28575">
                          <a:solidFill>
                            <a:schemeClr val="accent5">
                              <a:lumMod val="60000"/>
                              <a:lumOff val="4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465244" id="Straight Connector 1"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0,4.5pt" to="4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" strokecolor="#d86dcb [1944]" strokeweight="2.25pt">
                <v:stroke joinstyle="miter"/>
                <v:shadow on="t" color="black" opacity="26214f" origin="-.5,-.5" offset=".74836mm,.74836mm"/>
                <w10:wrap anchorx="margin"/>
              </v:line>
            </w:pict>
          </mc:Fallback>
        </mc:AlternateContent>
      </w:r>
    </w:p>
    <w:p w14:paraId="198E4205" w14:textId="400F1ADA" w:rsidR="003D3CD2" w:rsidRPr="003D3CD2" w:rsidRDefault="003D3CD2" w:rsidP="00265037">
      <w:pPr>
        <w:jc w:val="center"/>
        <w:rPr>
          <w:rFonts w:ascii="Filson Pro Light" w:hAnsi="Filson Pro Light"/>
          <w:b/>
          <w:bCs/>
        </w:rPr>
      </w:pPr>
      <w:r w:rsidRPr="003D3CD2">
        <w:rPr>
          <w:rFonts w:ascii="Filson Pro Light" w:hAnsi="Filson Pro Light"/>
          <w:b/>
          <w:bCs/>
        </w:rPr>
        <w:t xml:space="preserve">4. Roles &amp; </w:t>
      </w:r>
      <w:r w:rsidR="00265037">
        <w:rPr>
          <w:rFonts w:ascii="Filson Pro Light" w:hAnsi="Filson Pro Light"/>
          <w:b/>
          <w:bCs/>
        </w:rPr>
        <w:t>r</w:t>
      </w:r>
      <w:r w:rsidRPr="003D3CD2">
        <w:rPr>
          <w:rFonts w:ascii="Filson Pro Light" w:hAnsi="Filson Pro Light"/>
          <w:b/>
          <w:bCs/>
        </w:rPr>
        <w:t>esponsibilities</w:t>
      </w:r>
    </w:p>
    <w:p w14:paraId="018770BE" w14:textId="3C5E7594" w:rsidR="003D3CD2" w:rsidRPr="003D3CD2" w:rsidRDefault="003D3CD2" w:rsidP="003D3CD2">
      <w:pPr>
        <w:numPr>
          <w:ilvl w:val="0"/>
          <w:numId w:val="9"/>
        </w:numPr>
        <w:rPr>
          <w:rFonts w:ascii="Filson Pro Light" w:hAnsi="Filson Pro Light"/>
        </w:rPr>
      </w:pPr>
      <w:r w:rsidRPr="003D3CD2">
        <w:rPr>
          <w:rFonts w:ascii="Filson Pro Light" w:hAnsi="Filson Pro Light"/>
          <w:b/>
          <w:bCs/>
        </w:rPr>
        <w:t xml:space="preserve">Governing </w:t>
      </w:r>
      <w:r w:rsidR="00265037">
        <w:rPr>
          <w:rFonts w:ascii="Filson Pro Light" w:hAnsi="Filson Pro Light"/>
          <w:b/>
          <w:bCs/>
        </w:rPr>
        <w:t>b</w:t>
      </w:r>
      <w:r w:rsidRPr="003D3CD2">
        <w:rPr>
          <w:rFonts w:ascii="Filson Pro Light" w:hAnsi="Filson Pro Light"/>
          <w:b/>
          <w:bCs/>
        </w:rPr>
        <w:t>oard:</w:t>
      </w:r>
      <w:r w:rsidRPr="003D3CD2">
        <w:rPr>
          <w:rFonts w:ascii="Filson Pro Light" w:hAnsi="Filson Pro Light"/>
        </w:rPr>
        <w:t xml:space="preserve"> Approve and monitor policy compliance.</w:t>
      </w:r>
    </w:p>
    <w:p w14:paraId="43FCE1F8" w14:textId="2EDCDC5D" w:rsidR="003D3CD2" w:rsidRPr="003D3CD2" w:rsidRDefault="003D3CD2" w:rsidP="003D3CD2">
      <w:pPr>
        <w:numPr>
          <w:ilvl w:val="0"/>
          <w:numId w:val="9"/>
        </w:numPr>
        <w:rPr>
          <w:rFonts w:ascii="Filson Pro Light" w:hAnsi="Filson Pro Light"/>
        </w:rPr>
      </w:pPr>
      <w:r w:rsidRPr="003D3CD2">
        <w:rPr>
          <w:rFonts w:ascii="Filson Pro Light" w:hAnsi="Filson Pro Light"/>
          <w:b/>
          <w:bCs/>
        </w:rPr>
        <w:t xml:space="preserve">Staff &amp; </w:t>
      </w:r>
      <w:r w:rsidR="00265037">
        <w:rPr>
          <w:rFonts w:ascii="Filson Pro Light" w:hAnsi="Filson Pro Light"/>
          <w:b/>
          <w:bCs/>
        </w:rPr>
        <w:t>v</w:t>
      </w:r>
      <w:r w:rsidRPr="003D3CD2">
        <w:rPr>
          <w:rFonts w:ascii="Filson Pro Light" w:hAnsi="Filson Pro Light"/>
          <w:b/>
          <w:bCs/>
        </w:rPr>
        <w:t>olunteers:</w:t>
      </w:r>
      <w:r w:rsidRPr="003D3CD2">
        <w:rPr>
          <w:rFonts w:ascii="Filson Pro Light" w:hAnsi="Filson Pro Light"/>
        </w:rPr>
        <w:t xml:space="preserve"> Follow policy, report issues, and act responsibly.</w:t>
      </w:r>
    </w:p>
    <w:p w14:paraId="5775C2BB" w14:textId="378D3FD6" w:rsidR="003D3CD2" w:rsidRDefault="003D3CD2" w:rsidP="003D3CD2">
      <w:pPr>
        <w:numPr>
          <w:ilvl w:val="0"/>
          <w:numId w:val="9"/>
        </w:numPr>
        <w:rPr>
          <w:rFonts w:ascii="Filson Pro Light" w:hAnsi="Filson Pro Light"/>
        </w:rPr>
      </w:pPr>
      <w:r w:rsidRPr="003D3CD2">
        <w:rPr>
          <w:rFonts w:ascii="Filson Pro Light" w:hAnsi="Filson Pro Light"/>
          <w:b/>
          <w:bCs/>
        </w:rPr>
        <w:t xml:space="preserve">Fundraising </w:t>
      </w:r>
      <w:r w:rsidR="00265037">
        <w:rPr>
          <w:rFonts w:ascii="Filson Pro Light" w:hAnsi="Filson Pro Light"/>
          <w:b/>
          <w:bCs/>
        </w:rPr>
        <w:t>p</w:t>
      </w:r>
      <w:r w:rsidRPr="003D3CD2">
        <w:rPr>
          <w:rFonts w:ascii="Filson Pro Light" w:hAnsi="Filson Pro Light"/>
          <w:b/>
          <w:bCs/>
        </w:rPr>
        <w:t xml:space="preserve">artners &amp; </w:t>
      </w:r>
      <w:r w:rsidR="00265037">
        <w:rPr>
          <w:rFonts w:ascii="Filson Pro Light" w:hAnsi="Filson Pro Light"/>
          <w:b/>
          <w:bCs/>
        </w:rPr>
        <w:t>p</w:t>
      </w:r>
      <w:r w:rsidRPr="003D3CD2">
        <w:rPr>
          <w:rFonts w:ascii="Filson Pro Light" w:hAnsi="Filson Pro Light"/>
          <w:b/>
          <w:bCs/>
        </w:rPr>
        <w:t xml:space="preserve">rofessional </w:t>
      </w:r>
      <w:r w:rsidR="00265037">
        <w:rPr>
          <w:rFonts w:ascii="Filson Pro Light" w:hAnsi="Filson Pro Light"/>
          <w:b/>
          <w:bCs/>
        </w:rPr>
        <w:t>f</w:t>
      </w:r>
      <w:r w:rsidRPr="003D3CD2">
        <w:rPr>
          <w:rFonts w:ascii="Filson Pro Light" w:hAnsi="Filson Pro Light"/>
          <w:b/>
          <w:bCs/>
        </w:rPr>
        <w:t>undraisers:</w:t>
      </w:r>
      <w:r w:rsidRPr="003D3CD2">
        <w:rPr>
          <w:rFonts w:ascii="Filson Pro Light" w:hAnsi="Filson Pro Light"/>
        </w:rPr>
        <w:t xml:space="preserve"> Comply with policy, Code standards, and legal obligations.</w:t>
      </w:r>
    </w:p>
    <w:p w14:paraId="18082221" w14:textId="77777777" w:rsidR="00B75676" w:rsidRPr="003D3CD2" w:rsidRDefault="00B75676" w:rsidP="00B75676">
      <w:pPr>
        <w:ind w:left="360"/>
        <w:rPr>
          <w:rFonts w:ascii="Filson Pro Light" w:hAnsi="Filson Pro Light"/>
        </w:rPr>
      </w:pPr>
    </w:p>
    <w:p w14:paraId="5BBC6ADB" w14:textId="6BB30363" w:rsidR="003D3CD2" w:rsidRPr="003D3CD2" w:rsidRDefault="00265037" w:rsidP="003D3CD2">
      <w:pPr>
        <w:rPr>
          <w:rFonts w:ascii="Filson Pro Light" w:hAnsi="Filson Pro Light"/>
        </w:rPr>
      </w:pPr>
      <w:r>
        <w:rPr>
          <w:rFonts w:ascii="Filson Pro Light" w:hAnsi="Filson Pro Light"/>
          <w:noProof/>
        </w:rPr>
        <mc:AlternateContent>
          <mc:Choice Requires="wps">
            <w:drawing>
              <wp:anchor distT="0" distB="0" distL="114300" distR="114300" simplePos="0" relativeHeight="251667456" behindDoc="0" locked="0" layoutInCell="1" allowOverlap="1" wp14:anchorId="4D95E7B2" wp14:editId="0AE685E3">
                <wp:simplePos x="0" y="0"/>
                <wp:positionH relativeFrom="margin">
                  <wp:posOffset>0</wp:posOffset>
                </wp:positionH>
                <wp:positionV relativeFrom="paragraph">
                  <wp:posOffset>56515</wp:posOffset>
                </wp:positionV>
                <wp:extent cx="5600700" cy="0"/>
                <wp:effectExtent l="38100" t="57150" r="76200" b="114300"/>
                <wp:wrapNone/>
                <wp:docPr id="1798896326"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w="28575">
                          <a:solidFill>
                            <a:schemeClr val="accent5">
                              <a:lumMod val="60000"/>
                              <a:lumOff val="4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4A9BD" id="Straight Connector 1"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0,4.45pt" to="44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" strokecolor="#d86dcb [1944]" strokeweight="2.25pt">
                <v:stroke joinstyle="miter"/>
                <v:shadow on="t" color="black" opacity="26214f" origin="-.5,-.5" offset=".74836mm,.74836mm"/>
                <w10:wrap anchorx="margin"/>
              </v:line>
            </w:pict>
          </mc:Fallback>
        </mc:AlternateContent>
      </w:r>
    </w:p>
    <w:p w14:paraId="665C351D" w14:textId="77777777" w:rsidR="003D3CD2" w:rsidRPr="003D3CD2" w:rsidRDefault="003D3CD2" w:rsidP="00265037">
      <w:pPr>
        <w:jc w:val="center"/>
        <w:rPr>
          <w:rFonts w:ascii="Filson Pro Light" w:hAnsi="Filson Pro Light"/>
          <w:b/>
          <w:bCs/>
        </w:rPr>
      </w:pPr>
      <w:r w:rsidRPr="003D3CD2">
        <w:rPr>
          <w:rFonts w:ascii="Filson Pro Light" w:hAnsi="Filson Pro Light"/>
          <w:b/>
          <w:bCs/>
        </w:rPr>
        <w:t>5. Donor Protection &amp; Complaints</w:t>
      </w:r>
    </w:p>
    <w:p w14:paraId="7A6E8667" w14:textId="77777777" w:rsidR="003D3CD2" w:rsidRPr="003D3CD2" w:rsidRDefault="003D3CD2" w:rsidP="00265037">
      <w:pPr>
        <w:numPr>
          <w:ilvl w:val="0"/>
          <w:numId w:val="10"/>
        </w:numPr>
        <w:jc w:val="both"/>
        <w:rPr>
          <w:rFonts w:ascii="Filson Pro Light" w:hAnsi="Filson Pro Light"/>
        </w:rPr>
      </w:pPr>
      <w:r w:rsidRPr="003D3CD2">
        <w:rPr>
          <w:rFonts w:ascii="Filson Pro Light" w:hAnsi="Filson Pro Light"/>
        </w:rPr>
        <w:t>Donors have the right to transparency and clear communication.</w:t>
      </w:r>
    </w:p>
    <w:p w14:paraId="7D271AB2" w14:textId="77777777" w:rsidR="003D3CD2" w:rsidRPr="003D3CD2" w:rsidRDefault="003D3CD2" w:rsidP="00265037">
      <w:pPr>
        <w:numPr>
          <w:ilvl w:val="0"/>
          <w:numId w:val="10"/>
        </w:numPr>
        <w:jc w:val="both"/>
        <w:rPr>
          <w:rFonts w:ascii="Filson Pro Light" w:hAnsi="Filson Pro Light"/>
        </w:rPr>
      </w:pPr>
      <w:r w:rsidRPr="003D3CD2">
        <w:rPr>
          <w:rFonts w:ascii="Filson Pro Light" w:hAnsi="Filson Pro Light"/>
        </w:rPr>
        <w:t>Complaints are handled via the institution’s complaints procedure, with timely feedback.</w:t>
      </w:r>
    </w:p>
    <w:p w14:paraId="6038137A" w14:textId="77777777" w:rsidR="003D3CD2" w:rsidRDefault="003D3CD2" w:rsidP="00265037">
      <w:pPr>
        <w:numPr>
          <w:ilvl w:val="0"/>
          <w:numId w:val="10"/>
        </w:numPr>
        <w:jc w:val="both"/>
        <w:rPr>
          <w:rFonts w:ascii="Filson Pro Light" w:hAnsi="Filson Pro Light"/>
        </w:rPr>
      </w:pPr>
      <w:r w:rsidRPr="003D3CD2">
        <w:rPr>
          <w:rFonts w:ascii="Filson Pro Light" w:hAnsi="Filson Pro Light"/>
        </w:rPr>
        <w:lastRenderedPageBreak/>
        <w:t>Donors can opt out of communications via the Fundraising Preference Service or mailing lists.</w:t>
      </w:r>
    </w:p>
    <w:p w14:paraId="4E511515" w14:textId="77777777" w:rsidR="00B75676" w:rsidRPr="003D3CD2" w:rsidRDefault="00B75676" w:rsidP="00B75676">
      <w:pPr>
        <w:ind w:left="360"/>
        <w:jc w:val="both"/>
        <w:rPr>
          <w:rFonts w:ascii="Filson Pro Light" w:hAnsi="Filson Pro Light"/>
        </w:rPr>
      </w:pPr>
    </w:p>
    <w:p w14:paraId="350B04E3" w14:textId="042E066B" w:rsidR="003D3CD2" w:rsidRPr="003D3CD2" w:rsidRDefault="00265037" w:rsidP="003D3CD2">
      <w:pPr>
        <w:rPr>
          <w:rFonts w:ascii="Filson Pro Light" w:hAnsi="Filson Pro Light"/>
        </w:rPr>
      </w:pPr>
      <w:r>
        <w:rPr>
          <w:rFonts w:ascii="Filson Pro Light" w:hAnsi="Filson Pro Light"/>
          <w:noProof/>
        </w:rPr>
        <mc:AlternateContent>
          <mc:Choice Requires="wps">
            <w:drawing>
              <wp:anchor distT="0" distB="0" distL="114300" distR="114300" simplePos="0" relativeHeight="251669504" behindDoc="0" locked="0" layoutInCell="1" allowOverlap="1" wp14:anchorId="74B8EF70" wp14:editId="75C6A135">
                <wp:simplePos x="0" y="0"/>
                <wp:positionH relativeFrom="margin">
                  <wp:posOffset>0</wp:posOffset>
                </wp:positionH>
                <wp:positionV relativeFrom="paragraph">
                  <wp:posOffset>56515</wp:posOffset>
                </wp:positionV>
                <wp:extent cx="5600700" cy="0"/>
                <wp:effectExtent l="38100" t="57150" r="76200" b="114300"/>
                <wp:wrapNone/>
                <wp:docPr id="87251788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w="28575">
                          <a:solidFill>
                            <a:schemeClr val="accent5">
                              <a:lumMod val="60000"/>
                              <a:lumOff val="4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BFD34D" id="Straight Connector 1"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4.45pt" to="44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" strokecolor="#d86dcb [1944]" strokeweight="2.25pt">
                <v:stroke joinstyle="miter"/>
                <v:shadow on="t" color="black" opacity="26214f" origin="-.5,-.5" offset=".74836mm,.74836mm"/>
                <w10:wrap anchorx="margin"/>
              </v:line>
            </w:pict>
          </mc:Fallback>
        </mc:AlternateContent>
      </w:r>
    </w:p>
    <w:p w14:paraId="02C758AD" w14:textId="1BD2CD97" w:rsidR="003D3CD2" w:rsidRPr="003D3CD2" w:rsidRDefault="00265037" w:rsidP="003D3CD2">
      <w:pPr>
        <w:rPr>
          <w:rFonts w:ascii="Filson Pro Light" w:hAnsi="Filson Pro Light"/>
          <w:b/>
          <w:bCs/>
        </w:rPr>
      </w:pPr>
      <w:r>
        <w:rPr>
          <w:rFonts w:ascii="Filson Pro Light" w:hAnsi="Filson Pro Light"/>
          <w:b/>
          <w:bCs/>
        </w:rPr>
        <w:t>6</w:t>
      </w:r>
      <w:r w:rsidR="003D3CD2" w:rsidRPr="003D3CD2">
        <w:rPr>
          <w:rFonts w:ascii="Filson Pro Light" w:hAnsi="Filson Pro Light"/>
          <w:b/>
          <w:bCs/>
        </w:rPr>
        <w:t>. References</w:t>
      </w:r>
    </w:p>
    <w:p w14:paraId="34A1A104" w14:textId="77777777" w:rsidR="003D3CD2" w:rsidRPr="003D3CD2" w:rsidRDefault="003D3CD2" w:rsidP="00265037">
      <w:pPr>
        <w:numPr>
          <w:ilvl w:val="0"/>
          <w:numId w:val="12"/>
        </w:numPr>
        <w:spacing w:after="0"/>
        <w:rPr>
          <w:rFonts w:ascii="Filson Pro Light" w:hAnsi="Filson Pro Light"/>
        </w:rPr>
      </w:pPr>
      <w:r w:rsidRPr="003D3CD2">
        <w:rPr>
          <w:rFonts w:ascii="Filson Pro Light" w:hAnsi="Filson Pro Light"/>
        </w:rPr>
        <w:t>Fundraising Regulator: Code of Fundraising Practice (Effective 1 Nov 2025)</w:t>
      </w:r>
    </w:p>
    <w:p w14:paraId="37AAEAD3" w14:textId="77777777" w:rsidR="003D3CD2" w:rsidRPr="003D3CD2" w:rsidRDefault="003D3CD2" w:rsidP="00265037">
      <w:pPr>
        <w:numPr>
          <w:ilvl w:val="0"/>
          <w:numId w:val="12"/>
        </w:numPr>
        <w:spacing w:after="0"/>
        <w:rPr>
          <w:rFonts w:ascii="Filson Pro Light" w:hAnsi="Filson Pro Light"/>
        </w:rPr>
      </w:pPr>
      <w:r w:rsidRPr="003D3CD2">
        <w:rPr>
          <w:rFonts w:ascii="Filson Pro Light" w:hAnsi="Filson Pro Light"/>
        </w:rPr>
        <w:t>HMRC: Gift Aid &amp; Payroll Giving guidance</w:t>
      </w:r>
    </w:p>
    <w:p w14:paraId="32FF7F5D" w14:textId="77777777" w:rsidR="003D3CD2" w:rsidRPr="003D3CD2" w:rsidRDefault="003D3CD2" w:rsidP="00265037">
      <w:pPr>
        <w:numPr>
          <w:ilvl w:val="0"/>
          <w:numId w:val="12"/>
        </w:numPr>
        <w:spacing w:after="0"/>
        <w:rPr>
          <w:rFonts w:ascii="Filson Pro Light" w:hAnsi="Filson Pro Light"/>
        </w:rPr>
      </w:pPr>
      <w:r w:rsidRPr="003D3CD2">
        <w:rPr>
          <w:rFonts w:ascii="Filson Pro Light" w:hAnsi="Filson Pro Light"/>
        </w:rPr>
        <w:t>Charity Commission and legal regulations</w:t>
      </w:r>
    </w:p>
    <w:p w14:paraId="0EC5DD0B" w14:textId="77777777" w:rsidR="003D3CD2" w:rsidRPr="003D3CD2" w:rsidRDefault="003D3CD2" w:rsidP="00265037">
      <w:pPr>
        <w:numPr>
          <w:ilvl w:val="0"/>
          <w:numId w:val="12"/>
        </w:numPr>
        <w:spacing w:after="0"/>
        <w:rPr>
          <w:rFonts w:ascii="Filson Pro Light" w:hAnsi="Filson Pro Light"/>
        </w:rPr>
      </w:pPr>
      <w:r w:rsidRPr="003D3CD2">
        <w:rPr>
          <w:rFonts w:ascii="Filson Pro Light" w:hAnsi="Filson Pro Light"/>
        </w:rPr>
        <w:t>Health &amp; Safety at Work Regulations</w:t>
      </w:r>
    </w:p>
    <w:p w14:paraId="57BDA2B2" w14:textId="77777777" w:rsidR="003D3CD2" w:rsidRPr="003D3CD2" w:rsidRDefault="003D3CD2" w:rsidP="003D3CD2">
      <w:pPr>
        <w:numPr>
          <w:ilvl w:val="0"/>
          <w:numId w:val="12"/>
        </w:numPr>
        <w:rPr>
          <w:rFonts w:ascii="Filson Pro Light" w:hAnsi="Filson Pro Light"/>
        </w:rPr>
      </w:pPr>
      <w:r w:rsidRPr="003D3CD2">
        <w:rPr>
          <w:rFonts w:ascii="Filson Pro Light" w:hAnsi="Filson Pro Light"/>
        </w:rPr>
        <w:t>Equality Act 2010</w:t>
      </w:r>
    </w:p>
    <w:p w14:paraId="60985A24" w14:textId="77777777" w:rsidR="003C3023" w:rsidRPr="003D3CD2" w:rsidRDefault="003C3023">
      <w:pPr>
        <w:rPr>
          <w:rFonts w:ascii="Filson Pro Light" w:hAnsi="Filson Pro Light"/>
        </w:rPr>
      </w:pPr>
    </w:p>
    <w:sectPr w:rsidR="003C3023" w:rsidRPr="003D3CD2" w:rsidSect="0062331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ilson Pro Light">
    <w:altName w:val="Calibri"/>
    <w:panose1 w:val="00000000000000000000"/>
    <w:charset w:val="00"/>
    <w:family w:val="modern"/>
    <w:notTrueType/>
    <w:pitch w:val="variable"/>
    <w:sig w:usb0="A00000AF" w:usb1="5000206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CCB"/>
    <w:multiLevelType w:val="multilevel"/>
    <w:tmpl w:val="6544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72CD5"/>
    <w:multiLevelType w:val="multilevel"/>
    <w:tmpl w:val="2790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73A85"/>
    <w:multiLevelType w:val="multilevel"/>
    <w:tmpl w:val="5CF4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37E65"/>
    <w:multiLevelType w:val="multilevel"/>
    <w:tmpl w:val="80C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C7FAB"/>
    <w:multiLevelType w:val="multilevel"/>
    <w:tmpl w:val="3E16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418F3"/>
    <w:multiLevelType w:val="multilevel"/>
    <w:tmpl w:val="8E0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0798F"/>
    <w:multiLevelType w:val="multilevel"/>
    <w:tmpl w:val="67CE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67F34"/>
    <w:multiLevelType w:val="multilevel"/>
    <w:tmpl w:val="610E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F4D45"/>
    <w:multiLevelType w:val="multilevel"/>
    <w:tmpl w:val="0FB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FC6658"/>
    <w:multiLevelType w:val="multilevel"/>
    <w:tmpl w:val="082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02286"/>
    <w:multiLevelType w:val="multilevel"/>
    <w:tmpl w:val="3C2C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FE2640"/>
    <w:multiLevelType w:val="multilevel"/>
    <w:tmpl w:val="34FC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241938">
    <w:abstractNumId w:val="5"/>
  </w:num>
  <w:num w:numId="2" w16cid:durableId="1136265506">
    <w:abstractNumId w:val="7"/>
  </w:num>
  <w:num w:numId="3" w16cid:durableId="1074351681">
    <w:abstractNumId w:val="1"/>
  </w:num>
  <w:num w:numId="4" w16cid:durableId="383799263">
    <w:abstractNumId w:val="6"/>
  </w:num>
  <w:num w:numId="5" w16cid:durableId="1219978493">
    <w:abstractNumId w:val="10"/>
  </w:num>
  <w:num w:numId="6" w16cid:durableId="8262569">
    <w:abstractNumId w:val="2"/>
  </w:num>
  <w:num w:numId="7" w16cid:durableId="1370882963">
    <w:abstractNumId w:val="9"/>
  </w:num>
  <w:num w:numId="8" w16cid:durableId="418136440">
    <w:abstractNumId w:val="4"/>
  </w:num>
  <w:num w:numId="9" w16cid:durableId="2090737467">
    <w:abstractNumId w:val="8"/>
  </w:num>
  <w:num w:numId="10" w16cid:durableId="1554924944">
    <w:abstractNumId w:val="3"/>
  </w:num>
  <w:num w:numId="11" w16cid:durableId="307516041">
    <w:abstractNumId w:val="11"/>
  </w:num>
  <w:num w:numId="12" w16cid:durableId="66724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D2"/>
    <w:rsid w:val="00265037"/>
    <w:rsid w:val="003B61B0"/>
    <w:rsid w:val="003C3023"/>
    <w:rsid w:val="003D3CD2"/>
    <w:rsid w:val="00623314"/>
    <w:rsid w:val="00670E8C"/>
    <w:rsid w:val="009302C0"/>
    <w:rsid w:val="00986836"/>
    <w:rsid w:val="009959D9"/>
    <w:rsid w:val="009A20E4"/>
    <w:rsid w:val="00B75676"/>
    <w:rsid w:val="00B84AE9"/>
    <w:rsid w:val="00BE166C"/>
    <w:rsid w:val="00CC1C8E"/>
    <w:rsid w:val="00D77A2F"/>
    <w:rsid w:val="00D9480D"/>
    <w:rsid w:val="00EA6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AF1F"/>
  <w15:chartTrackingRefBased/>
  <w15:docId w15:val="{3FF91629-4517-4CBD-96B6-E599106B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C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C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C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C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C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C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C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C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C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CD2"/>
    <w:rPr>
      <w:rFonts w:eastAsiaTheme="majorEastAsia" w:cstheme="majorBidi"/>
      <w:color w:val="272727" w:themeColor="text1" w:themeTint="D8"/>
    </w:rPr>
  </w:style>
  <w:style w:type="paragraph" w:styleId="Title">
    <w:name w:val="Title"/>
    <w:basedOn w:val="Normal"/>
    <w:next w:val="Normal"/>
    <w:link w:val="TitleChar"/>
    <w:uiPriority w:val="10"/>
    <w:qFormat/>
    <w:rsid w:val="003D3C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C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CD2"/>
    <w:pPr>
      <w:spacing w:before="160"/>
      <w:jc w:val="center"/>
    </w:pPr>
    <w:rPr>
      <w:i/>
      <w:iCs/>
      <w:color w:val="404040" w:themeColor="text1" w:themeTint="BF"/>
    </w:rPr>
  </w:style>
  <w:style w:type="character" w:customStyle="1" w:styleId="QuoteChar">
    <w:name w:val="Quote Char"/>
    <w:basedOn w:val="DefaultParagraphFont"/>
    <w:link w:val="Quote"/>
    <w:uiPriority w:val="29"/>
    <w:rsid w:val="003D3CD2"/>
    <w:rPr>
      <w:i/>
      <w:iCs/>
      <w:color w:val="404040" w:themeColor="text1" w:themeTint="BF"/>
    </w:rPr>
  </w:style>
  <w:style w:type="paragraph" w:styleId="ListParagraph">
    <w:name w:val="List Paragraph"/>
    <w:basedOn w:val="Normal"/>
    <w:uiPriority w:val="34"/>
    <w:qFormat/>
    <w:rsid w:val="003D3CD2"/>
    <w:pPr>
      <w:ind w:left="720"/>
      <w:contextualSpacing/>
    </w:pPr>
  </w:style>
  <w:style w:type="character" w:styleId="IntenseEmphasis">
    <w:name w:val="Intense Emphasis"/>
    <w:basedOn w:val="DefaultParagraphFont"/>
    <w:uiPriority w:val="21"/>
    <w:qFormat/>
    <w:rsid w:val="003D3CD2"/>
    <w:rPr>
      <w:i/>
      <w:iCs/>
      <w:color w:val="0F4761" w:themeColor="accent1" w:themeShade="BF"/>
    </w:rPr>
  </w:style>
  <w:style w:type="paragraph" w:styleId="IntenseQuote">
    <w:name w:val="Intense Quote"/>
    <w:basedOn w:val="Normal"/>
    <w:next w:val="Normal"/>
    <w:link w:val="IntenseQuoteChar"/>
    <w:uiPriority w:val="30"/>
    <w:qFormat/>
    <w:rsid w:val="003D3C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CD2"/>
    <w:rPr>
      <w:i/>
      <w:iCs/>
      <w:color w:val="0F4761" w:themeColor="accent1" w:themeShade="BF"/>
    </w:rPr>
  </w:style>
  <w:style w:type="character" w:styleId="IntenseReference">
    <w:name w:val="Intense Reference"/>
    <w:basedOn w:val="DefaultParagraphFont"/>
    <w:uiPriority w:val="32"/>
    <w:qFormat/>
    <w:rsid w:val="003D3C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4ed372-075b-4d6d-8c23-f0cc7031b096}" enabled="0" method="" siteId="{054ed372-075b-4d6d-8c23-f0cc7031b096}"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1654</Words>
  <Characters>9612</Characters>
  <Application>Microsoft Office Word</Application>
  <DocSecurity>0</DocSecurity>
  <Lines>168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Knox</dc:creator>
  <cp:keywords/>
  <dc:description/>
  <cp:lastModifiedBy>Bex Jignasu</cp:lastModifiedBy>
  <cp:revision>3</cp:revision>
  <dcterms:created xsi:type="dcterms:W3CDTF">2026-08-04T08:49:00Z</dcterms:created>
  <dcterms:modified xsi:type="dcterms:W3CDTF">2026-08-04T08:50:00Z</dcterms:modified>
</cp:coreProperties>
</file>